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9D0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53ED3" w14:textId="77777777" w:rsidR="00615AA7" w:rsidRDefault="00615AA7">
      <w:pPr>
        <w:pStyle w:val="1"/>
        <w:spacing w:before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6C822AE" w14:textId="77777777" w:rsidR="00615AA7" w:rsidRDefault="007F50BB">
      <w:pPr>
        <w:pStyle w:val="1"/>
        <w:spacing w:before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ЗАПРОШЕННЯ ДО УЧАСТІ В ТЕНДЕРІ</w:t>
      </w:r>
    </w:p>
    <w:p w14:paraId="26E75AFC" w14:textId="77777777" w:rsidR="00615AA7" w:rsidRDefault="007F50B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НА ПОСТАЧАННЯ </w:t>
      </w:r>
    </w:p>
    <w:p w14:paraId="149A2CFF" w14:textId="77777777" w:rsidR="00615AA7" w:rsidRDefault="00615AA7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9BCF5FE" w14:textId="77777777" w:rsidR="00615AA7" w:rsidRDefault="00615AA7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361CCA" w14:textId="77777777" w:rsidR="00615AA7" w:rsidRDefault="00615A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B539C" w14:textId="77777777" w:rsidR="00615AA7" w:rsidRDefault="007F5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ЗАКУПІВЛЮ ТА ПОСТАЧАННЯ НЕОБХІДНОГО ОБЛАДНАННЯ ДЛЯ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 НАВЧАЛЬНИХ ЗАКЛАДІВ ТА 5 ЗАКЛАДІВ ІППО УКРАЇНИ</w:t>
      </w:r>
    </w:p>
    <w:p w14:paraId="0BC38CE6" w14:textId="77777777" w:rsidR="00615AA7" w:rsidRDefault="007F5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68010588" w14:textId="77777777" w:rsidR="00615AA7" w:rsidRDefault="007F50BB">
      <w:pPr>
        <w:tabs>
          <w:tab w:val="left" w:pos="709"/>
          <w:tab w:val="left" w:pos="851"/>
          <w:tab w:val="left" w:pos="1134"/>
          <w:tab w:val="left" w:pos="141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Шановний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пане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3E122B" w14:textId="77777777" w:rsidR="00615AA7" w:rsidRDefault="007F50BB">
      <w:pPr>
        <w:tabs>
          <w:tab w:val="left" w:pos="709"/>
          <w:tab w:val="left" w:pos="851"/>
          <w:tab w:val="left" w:pos="1134"/>
          <w:tab w:val="left" w:pos="141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Запрошуємо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поставку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необхідного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ІППО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</w:p>
    <w:p w14:paraId="0A4BB458" w14:textId="77777777" w:rsidR="00615AA7" w:rsidRDefault="007F50BB">
      <w:pPr>
        <w:tabs>
          <w:tab w:val="left" w:pos="709"/>
          <w:tab w:val="left" w:pos="851"/>
          <w:tab w:val="left" w:pos="1134"/>
          <w:tab w:val="left" w:pos="141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Повідомляємо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оступні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завантаження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тендерному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майданчику</w:t>
      </w:r>
      <w:proofErr w:type="spellEnd"/>
      <w:r>
        <w:fldChar w:fldCharType="begin"/>
      </w:r>
      <w:r>
        <w:instrText xml:space="preserve"> HYPERLINK "https://playtender.com.ua"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https://playtender.com.ua/zak/</w:t>
        </w:r>
      </w:hyperlink>
    </w:p>
    <w:p w14:paraId="15525AB4" w14:textId="77777777" w:rsidR="00615AA7" w:rsidRDefault="007F50BB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право подати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як на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окремий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лот, так і на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загалом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136E70DA" w14:textId="77777777" w:rsidR="00615AA7" w:rsidRDefault="00615A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C1D49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 тендер</w:t>
      </w:r>
    </w:p>
    <w:p w14:paraId="132C34F1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Інструкції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тендеру</w:t>
      </w:r>
    </w:p>
    <w:p w14:paraId="21F7B69A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контракту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724FC80" w14:textId="77777777" w:rsidR="00615AA7" w:rsidRDefault="00615AA7">
      <w:pPr>
        <w:tabs>
          <w:tab w:val="left" w:pos="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78A13" w14:textId="77777777" w:rsidR="00615AA7" w:rsidRDefault="007F50BB">
      <w:pPr>
        <w:tabs>
          <w:tab w:val="left" w:pos="360"/>
        </w:tabs>
        <w:rPr>
          <w:rFonts w:ascii="Times New Roman" w:eastAsia="Times New Roman" w:hAnsi="Times New Roman" w:cs="Times New Roman"/>
          <w:b/>
          <w:i/>
          <w:color w:val="2E75B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1.Загальні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контрактів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поставки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378D0FE" w14:textId="77777777" w:rsidR="00615AA7" w:rsidRDefault="007F50BB">
      <w:pPr>
        <w:tabs>
          <w:tab w:val="left" w:pos="3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E75B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Загальні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до Кон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тракту “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1”-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доданий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тендерного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досьє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стр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13-15)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CF69529" w14:textId="77777777" w:rsidR="00615AA7" w:rsidRDefault="00615AA7">
      <w:pPr>
        <w:tabs>
          <w:tab w:val="left" w:pos="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52D84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подачі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заявки на участь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970292B" w14:textId="77777777" w:rsidR="00615AA7" w:rsidRDefault="007F50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Учасники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повинні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заповнити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шаблон ГО “ДОККУ”,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додається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надати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необхідну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вартості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товарів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з  ПДВ)</w:t>
      </w:r>
    </w:p>
    <w:p w14:paraId="5EE85F83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A51F66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необхідних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товарів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Заповнити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3,вказавши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запропоновану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модель,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ціну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, строк 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гарантії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 на товар).</w:t>
      </w:r>
    </w:p>
    <w:p w14:paraId="40B25ABB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3.1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Список адрес на доставку. 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надається</w:t>
      </w:r>
      <w:proofErr w:type="spellEnd"/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ГО “ДОККУ”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  <w:highlight w:val="white"/>
        </w:rPr>
        <w:t>).</w:t>
      </w:r>
    </w:p>
    <w:p w14:paraId="154F8723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FFFCF8" w14:textId="77777777" w:rsidR="00615AA7" w:rsidRDefault="00615AA7">
      <w:pPr>
        <w:tabs>
          <w:tab w:val="left" w:pos="496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872DC" w14:textId="77777777" w:rsidR="00615AA7" w:rsidRDefault="00615AA7">
      <w:pPr>
        <w:tabs>
          <w:tab w:val="left" w:pos="496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B47AE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87984F4" w14:textId="77777777" w:rsidR="00615AA7" w:rsidRDefault="007F50BB">
      <w:pPr>
        <w:pStyle w:val="1"/>
        <w:numPr>
          <w:ilvl w:val="0"/>
          <w:numId w:val="13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 тендер</w:t>
      </w:r>
    </w:p>
    <w:p w14:paraId="38EE3498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pPr w:leftFromText="180" w:rightFromText="180" w:vertAnchor="text" w:tblpY="1"/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"/>
        <w:gridCol w:w="3463"/>
        <w:gridCol w:w="5879"/>
      </w:tblGrid>
      <w:tr w:rsidR="00615AA7" w14:paraId="1C630AA9" w14:textId="77777777">
        <w:tc>
          <w:tcPr>
            <w:tcW w:w="1025" w:type="dxa"/>
            <w:shd w:val="clear" w:color="auto" w:fill="2F5496"/>
          </w:tcPr>
          <w:p w14:paraId="25648EA7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0" w:right="60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1DC15192" w14:textId="77777777" w:rsidR="00615AA7" w:rsidRDefault="007F50BB">
            <w:pPr>
              <w:spacing w:before="60" w:after="6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інформація</w:t>
            </w:r>
            <w:proofErr w:type="spellEnd"/>
          </w:p>
        </w:tc>
      </w:tr>
      <w:tr w:rsidR="00615AA7" w14:paraId="1DEB4AA2" w14:textId="77777777">
        <w:tc>
          <w:tcPr>
            <w:tcW w:w="1025" w:type="dxa"/>
            <w:shd w:val="clear" w:color="auto" w:fill="D9E2F3"/>
          </w:tcPr>
          <w:p w14:paraId="1E9CA6D9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AB9A82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  <w:tc>
          <w:tcPr>
            <w:tcW w:w="5879" w:type="dxa"/>
          </w:tcPr>
          <w:p w14:paraId="3F759BEB" w14:textId="77777777" w:rsidR="00615AA7" w:rsidRDefault="007F5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AA7" w14:paraId="7E014A82" w14:textId="77777777">
        <w:trPr>
          <w:trHeight w:val="50"/>
        </w:trPr>
        <w:tc>
          <w:tcPr>
            <w:tcW w:w="1025" w:type="dxa"/>
            <w:shd w:val="clear" w:color="auto" w:fill="D9E2F3"/>
          </w:tcPr>
          <w:p w14:paraId="669AEE88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0BDD4C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тендеру</w:t>
            </w:r>
            <w:proofErr w:type="gramEnd"/>
          </w:p>
        </w:tc>
        <w:tc>
          <w:tcPr>
            <w:tcW w:w="5879" w:type="dxa"/>
          </w:tcPr>
          <w:p w14:paraId="6D981241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https://playtender.com.ua/zak/tender/view?id=2206</w:t>
            </w:r>
          </w:p>
        </w:tc>
      </w:tr>
      <w:tr w:rsidR="00615AA7" w14:paraId="5E160AB4" w14:textId="77777777">
        <w:tc>
          <w:tcPr>
            <w:tcW w:w="1025" w:type="dxa"/>
            <w:shd w:val="clear" w:color="auto" w:fill="D9E2F3"/>
          </w:tcPr>
          <w:p w14:paraId="12946A05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2B400FB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879" w:type="dxa"/>
          </w:tcPr>
          <w:p w14:paraId="2E967BB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</w:t>
            </w:r>
          </w:p>
        </w:tc>
      </w:tr>
      <w:tr w:rsidR="00615AA7" w14:paraId="3B4F04D1" w14:textId="77777777">
        <w:tc>
          <w:tcPr>
            <w:tcW w:w="1025" w:type="dxa"/>
            <w:shd w:val="clear" w:color="auto" w:fill="D9E2F3"/>
          </w:tcPr>
          <w:p w14:paraId="0EA57DB3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DD3FB7D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5879" w:type="dxa"/>
          </w:tcPr>
          <w:p w14:paraId="4863E4D8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ІППО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</w:p>
        </w:tc>
      </w:tr>
      <w:tr w:rsidR="00615AA7" w14:paraId="37DC4B98" w14:textId="77777777">
        <w:trPr>
          <w:trHeight w:val="895"/>
        </w:trPr>
        <w:tc>
          <w:tcPr>
            <w:tcW w:w="1025" w:type="dxa"/>
            <w:shd w:val="clear" w:color="auto" w:fill="D9E2F3"/>
          </w:tcPr>
          <w:p w14:paraId="6178914D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96B2CD5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879" w:type="dxa"/>
          </w:tcPr>
          <w:p w14:paraId="4FA3DCDE" w14:textId="77777777" w:rsidR="00615AA7" w:rsidRDefault="0061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1"/>
              <w:tblW w:w="56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5"/>
              <w:gridCol w:w="3988"/>
            </w:tblGrid>
            <w:tr w:rsidR="00615AA7" w14:paraId="757B5C83" w14:textId="77777777">
              <w:trPr>
                <w:trHeight w:val="288"/>
              </w:trPr>
              <w:tc>
                <w:tcPr>
                  <w:tcW w:w="1665" w:type="dxa"/>
                  <w:shd w:val="clear" w:color="auto" w:fill="D9E2F3"/>
                  <w:vAlign w:val="center"/>
                </w:tcPr>
                <w:p w14:paraId="5C5D034B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Ім'я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/Посада:</w:t>
                  </w:r>
                </w:p>
              </w:tc>
              <w:tc>
                <w:tcPr>
                  <w:tcW w:w="3988" w:type="dxa"/>
                  <w:vAlign w:val="center"/>
                </w:tcPr>
                <w:p w14:paraId="77543B7F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Геращенко Віта/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Фахівець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закупівель</w:t>
                  </w:r>
                  <w:proofErr w:type="spellEnd"/>
                </w:p>
              </w:tc>
            </w:tr>
            <w:tr w:rsidR="00615AA7" w14:paraId="5918A978" w14:textId="77777777">
              <w:trPr>
                <w:trHeight w:val="288"/>
              </w:trPr>
              <w:tc>
                <w:tcPr>
                  <w:tcW w:w="1665" w:type="dxa"/>
                  <w:shd w:val="clear" w:color="auto" w:fill="D9E2F3"/>
                  <w:vAlign w:val="center"/>
                </w:tcPr>
                <w:p w14:paraId="189904A7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Електронна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88" w:type="dxa"/>
                  <w:vAlign w:val="center"/>
                </w:tcPr>
                <w:p w14:paraId="41544645" w14:textId="77777777" w:rsidR="00615AA7" w:rsidRDefault="00615AA7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15AA7" w14:paraId="7A0DC2B8" w14:textId="77777777">
              <w:trPr>
                <w:trHeight w:val="288"/>
              </w:trPr>
              <w:tc>
                <w:tcPr>
                  <w:tcW w:w="1665" w:type="dxa"/>
                  <w:shd w:val="clear" w:color="auto" w:fill="D9E2F3"/>
                  <w:vAlign w:val="center"/>
                </w:tcPr>
                <w:p w14:paraId="222A49B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адреса:</w:t>
                  </w:r>
                </w:p>
              </w:tc>
              <w:tc>
                <w:tcPr>
                  <w:tcW w:w="3988" w:type="dxa"/>
                  <w:vAlign w:val="center"/>
                </w:tcPr>
                <w:p w14:paraId="4B5AEB9D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Січових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Стрільців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77</w:t>
                  </w:r>
                </w:p>
              </w:tc>
            </w:tr>
          </w:tbl>
          <w:p w14:paraId="7CF40121" w14:textId="77777777" w:rsidR="00615AA7" w:rsidRDefault="00615A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5AA7" w14:paraId="3AD19B31" w14:textId="77777777">
        <w:trPr>
          <w:trHeight w:val="360"/>
        </w:trPr>
        <w:tc>
          <w:tcPr>
            <w:tcW w:w="1025" w:type="dxa"/>
            <w:shd w:val="clear" w:color="auto" w:fill="D9E2F3"/>
          </w:tcPr>
          <w:p w14:paraId="194CE2C2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35A3EC7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тендеру</w:t>
            </w:r>
          </w:p>
        </w:tc>
        <w:tc>
          <w:tcPr>
            <w:tcW w:w="5879" w:type="dxa"/>
          </w:tcPr>
          <w:p w14:paraId="6CB36FB6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https://playtender.com.ua/zak/</w:t>
            </w:r>
          </w:p>
        </w:tc>
      </w:tr>
      <w:tr w:rsidR="00615AA7" w14:paraId="231780DF" w14:textId="77777777">
        <w:tc>
          <w:tcPr>
            <w:tcW w:w="1025" w:type="dxa"/>
            <w:shd w:val="clear" w:color="auto" w:fill="2F5496"/>
          </w:tcPr>
          <w:p w14:paraId="163B8D3B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58" w:right="58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05A5CF87" w14:textId="77777777" w:rsidR="00615AA7" w:rsidRDefault="007F50BB">
            <w:pPr>
              <w:spacing w:before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пропозицій</w:t>
            </w:r>
            <w:proofErr w:type="spellEnd"/>
          </w:p>
          <w:p w14:paraId="45171F45" w14:textId="77777777" w:rsidR="00615AA7" w:rsidRDefault="007F50BB">
            <w:pPr>
              <w:spacing w:after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часовому поясу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615AA7" w14:paraId="61CDD1F0" w14:textId="77777777">
        <w:tc>
          <w:tcPr>
            <w:tcW w:w="1025" w:type="dxa"/>
            <w:shd w:val="clear" w:color="auto" w:fill="D9E2F3"/>
          </w:tcPr>
          <w:p w14:paraId="57B7A694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3B7E651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тендері</w:t>
            </w:r>
            <w:proofErr w:type="spellEnd"/>
          </w:p>
        </w:tc>
        <w:tc>
          <w:tcPr>
            <w:tcW w:w="5879" w:type="dxa"/>
          </w:tcPr>
          <w:p w14:paraId="7AF9F235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26.08.2025 16:20</w:t>
            </w:r>
          </w:p>
        </w:tc>
      </w:tr>
      <w:tr w:rsidR="00615AA7" w14:paraId="2405B46F" w14:textId="77777777">
        <w:tc>
          <w:tcPr>
            <w:tcW w:w="1025" w:type="dxa"/>
            <w:shd w:val="clear" w:color="auto" w:fill="D9E2F3"/>
          </w:tcPr>
          <w:p w14:paraId="2FFBD99A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BD7B49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та година)</w:t>
            </w:r>
          </w:p>
        </w:tc>
        <w:tc>
          <w:tcPr>
            <w:tcW w:w="5879" w:type="dxa"/>
          </w:tcPr>
          <w:p w14:paraId="4D39232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16.09.2025 17:00</w:t>
            </w:r>
          </w:p>
        </w:tc>
      </w:tr>
      <w:tr w:rsidR="00615AA7" w14:paraId="08E4580E" w14:textId="77777777">
        <w:tc>
          <w:tcPr>
            <w:tcW w:w="1025" w:type="dxa"/>
            <w:shd w:val="clear" w:color="auto" w:fill="D9E2F3"/>
          </w:tcPr>
          <w:p w14:paraId="09E7BB14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1A009CF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5879" w:type="dxa"/>
          </w:tcPr>
          <w:p w14:paraId="2491CFF9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</w:tc>
      </w:tr>
      <w:tr w:rsidR="00615AA7" w14:paraId="63D329EA" w14:textId="77777777">
        <w:tc>
          <w:tcPr>
            <w:tcW w:w="1025" w:type="dxa"/>
            <w:shd w:val="clear" w:color="auto" w:fill="D9E2F3"/>
          </w:tcPr>
          <w:p w14:paraId="3B12C756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5A75F53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надіслати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замовнику</w:t>
            </w:r>
            <w:proofErr w:type="spellEnd"/>
          </w:p>
        </w:tc>
        <w:tc>
          <w:tcPr>
            <w:tcW w:w="5879" w:type="dxa"/>
          </w:tcPr>
          <w:p w14:paraId="7A4C7FE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</w:p>
        </w:tc>
      </w:tr>
      <w:tr w:rsidR="00615AA7" w14:paraId="31B30BA7" w14:textId="77777777">
        <w:tc>
          <w:tcPr>
            <w:tcW w:w="1025" w:type="dxa"/>
            <w:shd w:val="clear" w:color="auto" w:fill="D9E2F3"/>
          </w:tcPr>
          <w:p w14:paraId="36FBD8FD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6C039B9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дата,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роз’яснення</w:t>
            </w:r>
            <w:proofErr w:type="spellEnd"/>
          </w:p>
        </w:tc>
        <w:tc>
          <w:tcPr>
            <w:tcW w:w="5879" w:type="dxa"/>
          </w:tcPr>
          <w:p w14:paraId="477369E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tyjcwt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</w:tc>
      </w:tr>
      <w:tr w:rsidR="00615AA7" w14:paraId="67E45A23" w14:textId="77777777">
        <w:trPr>
          <w:trHeight w:val="1005"/>
        </w:trPr>
        <w:tc>
          <w:tcPr>
            <w:tcW w:w="1025" w:type="dxa"/>
            <w:shd w:val="clear" w:color="auto" w:fill="D9E2F3"/>
          </w:tcPr>
          <w:p w14:paraId="3CD2D0BF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E9F095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879" w:type="dxa"/>
          </w:tcPr>
          <w:p w14:paraId="3637877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1.6.</w:t>
            </w:r>
          </w:p>
          <w:p w14:paraId="0B55713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соромтеся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звертатися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</w:t>
            </w:r>
          </w:p>
        </w:tc>
      </w:tr>
      <w:tr w:rsidR="00615AA7" w14:paraId="4DF42F16" w14:textId="77777777">
        <w:tc>
          <w:tcPr>
            <w:tcW w:w="1025" w:type="dxa"/>
            <w:shd w:val="clear" w:color="auto" w:fill="D9E2F3"/>
          </w:tcPr>
          <w:p w14:paraId="3E62DBCA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1969D8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година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879" w:type="dxa"/>
          </w:tcPr>
          <w:p w14:paraId="3A258F38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16.09.2025 17:00</w:t>
            </w:r>
          </w:p>
        </w:tc>
      </w:tr>
      <w:tr w:rsidR="00615AA7" w14:paraId="7042D0BC" w14:textId="77777777">
        <w:tc>
          <w:tcPr>
            <w:tcW w:w="1025" w:type="dxa"/>
            <w:shd w:val="clear" w:color="auto" w:fill="D9E2F3"/>
          </w:tcPr>
          <w:p w14:paraId="2BBF2D5E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03C48D6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879" w:type="dxa"/>
          </w:tcPr>
          <w:p w14:paraId="03C323D8" w14:textId="77777777" w:rsidR="00615AA7" w:rsidRDefault="007F50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</w:tr>
      <w:tr w:rsidR="00615AA7" w14:paraId="02F48D29" w14:textId="77777777">
        <w:tc>
          <w:tcPr>
            <w:tcW w:w="1025" w:type="dxa"/>
            <w:shd w:val="clear" w:color="auto" w:fill="2F5496"/>
          </w:tcPr>
          <w:p w14:paraId="4E4EB023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0" w:right="60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3BC801A9" w14:textId="77777777" w:rsidR="00615AA7" w:rsidRDefault="007F50B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Зміст</w:t>
            </w:r>
            <w:proofErr w:type="spellEnd"/>
          </w:p>
        </w:tc>
      </w:tr>
      <w:tr w:rsidR="00615AA7" w14:paraId="790D753D" w14:textId="77777777">
        <w:tc>
          <w:tcPr>
            <w:tcW w:w="1025" w:type="dxa"/>
            <w:shd w:val="clear" w:color="auto" w:fill="D9E2F3"/>
          </w:tcPr>
          <w:p w14:paraId="7AD80C6C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4D6183B9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879" w:type="dxa"/>
          </w:tcPr>
          <w:p w14:paraId="31071DC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</w:t>
            </w:r>
            <w:proofErr w:type="spellEnd"/>
          </w:p>
        </w:tc>
      </w:tr>
      <w:tr w:rsidR="00615AA7" w14:paraId="7816645E" w14:textId="77777777">
        <w:tc>
          <w:tcPr>
            <w:tcW w:w="1025" w:type="dxa"/>
            <w:shd w:val="clear" w:color="auto" w:fill="D9E2F3"/>
          </w:tcPr>
          <w:p w14:paraId="1457963B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F2B0CA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супутніх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879" w:type="dxa"/>
            <w:shd w:val="clear" w:color="auto" w:fill="FFFFFF"/>
          </w:tcPr>
          <w:p w14:paraId="31915DD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Предметом договору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доставка,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постачальником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перелічених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30CA3F5A" w14:textId="77777777" w:rsidR="00615AA7" w:rsidRDefault="0061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59ED1A4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Будь ласка,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дивіться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технічну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специфікацію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товарів</w:t>
            </w:r>
            <w:proofErr w:type="spellEnd"/>
          </w:p>
        </w:tc>
      </w:tr>
      <w:tr w:rsidR="00615AA7" w14:paraId="49C5D8DA" w14:textId="77777777">
        <w:trPr>
          <w:trHeight w:val="454"/>
        </w:trPr>
        <w:tc>
          <w:tcPr>
            <w:tcW w:w="1025" w:type="dxa"/>
            <w:shd w:val="clear" w:color="auto" w:fill="D9E2F3"/>
          </w:tcPr>
          <w:p w14:paraId="0E156209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55EBEB8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розбитий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79" w:type="dxa"/>
          </w:tcPr>
          <w:p w14:paraId="7EC795A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</w:t>
            </w:r>
          </w:p>
        </w:tc>
      </w:tr>
      <w:tr w:rsidR="00615AA7" w14:paraId="2C040287" w14:textId="77777777">
        <w:trPr>
          <w:trHeight w:val="454"/>
        </w:trPr>
        <w:tc>
          <w:tcPr>
            <w:tcW w:w="1025" w:type="dxa"/>
            <w:shd w:val="clear" w:color="auto" w:fill="D9E2F3"/>
          </w:tcPr>
          <w:p w14:paraId="461CF64A" w14:textId="77777777" w:rsidR="00615AA7" w:rsidRDefault="007F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63" w:type="dxa"/>
            <w:shd w:val="clear" w:color="auto" w:fill="D9E2F3"/>
          </w:tcPr>
          <w:p w14:paraId="60215F9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тендеру подати заявку на один лот,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тендеру?</w:t>
            </w:r>
          </w:p>
        </w:tc>
        <w:tc>
          <w:tcPr>
            <w:tcW w:w="5879" w:type="dxa"/>
          </w:tcPr>
          <w:p w14:paraId="7B5CA3C7" w14:textId="77777777" w:rsidR="00615AA7" w:rsidRDefault="007F50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15AA7" w14:paraId="077F6406" w14:textId="77777777">
        <w:tc>
          <w:tcPr>
            <w:tcW w:w="1025" w:type="dxa"/>
            <w:shd w:val="clear" w:color="auto" w:fill="D9E2F3"/>
          </w:tcPr>
          <w:p w14:paraId="30E1CAFD" w14:textId="77777777" w:rsidR="00615AA7" w:rsidRDefault="007F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3" w:type="dxa"/>
            <w:shd w:val="clear" w:color="auto" w:fill="D9E2F3"/>
          </w:tcPr>
          <w:p w14:paraId="61350C7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доставки</w:t>
            </w:r>
          </w:p>
        </w:tc>
        <w:tc>
          <w:tcPr>
            <w:tcW w:w="5879" w:type="dxa"/>
          </w:tcPr>
          <w:p w14:paraId="4B2D5401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  <w:p w14:paraId="24FC8B79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2F985D2E" w14:textId="77777777">
        <w:tc>
          <w:tcPr>
            <w:tcW w:w="1025" w:type="dxa"/>
            <w:shd w:val="clear" w:color="auto" w:fill="D9E2F3"/>
          </w:tcPr>
          <w:p w14:paraId="3D2CDD19" w14:textId="77777777" w:rsidR="00615AA7" w:rsidRDefault="007F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63" w:type="dxa"/>
            <w:shd w:val="clear" w:color="auto" w:fill="D9E2F3"/>
          </w:tcPr>
          <w:p w14:paraId="7D2AD448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 xml:space="preserve"> </w:t>
            </w:r>
          </w:p>
        </w:tc>
        <w:tc>
          <w:tcPr>
            <w:tcW w:w="5879" w:type="dxa"/>
          </w:tcPr>
          <w:p w14:paraId="6F1EC3F1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sdt>
            <w:sdtPr>
              <w:tag w:val="goog_rdk_0"/>
              <w:id w:val="1801653953"/>
              <w:lock w:val="contentLocked"/>
            </w:sdtPr>
            <w:sdtEndPr/>
            <w:sdtContent>
              <w:tbl>
                <w:tblPr>
                  <w:tblStyle w:val="aff2"/>
                  <w:tblW w:w="564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855"/>
                  <w:gridCol w:w="4785"/>
                </w:tblGrid>
                <w:tr w:rsidR="00615AA7" w14:paraId="2E667716" w14:textId="77777777">
                  <w:tc>
                    <w:tcPr>
                      <w:tcW w:w="855" w:type="dxa"/>
                      <w:shd w:val="clear" w:color="auto" w:fill="D9D9D9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0A4FE313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#</w:t>
                      </w:r>
                    </w:p>
                  </w:tc>
                  <w:tc>
                    <w:tcPr>
                      <w:tcW w:w="4785" w:type="dxa"/>
                      <w:shd w:val="clear" w:color="auto" w:fill="D9D9D9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35C70062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Опис</w:t>
                      </w:r>
                    </w:p>
                  </w:tc>
                </w:tr>
                <w:tr w:rsidR="00615AA7" w14:paraId="45A87121" w14:textId="77777777">
                  <w:tc>
                    <w:tcPr>
                      <w:tcW w:w="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2BF34569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Лот 1</w:t>
                      </w:r>
                    </w:p>
                  </w:tc>
                  <w:tc>
                    <w:tcPr>
                      <w:tcW w:w="47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2EBA8C63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1D35"/>
                          <w:sz w:val="24"/>
                          <w:szCs w:val="24"/>
                          <w:highlight w:val="white"/>
                        </w:rPr>
                        <w:t xml:space="preserve"> Комп'ютерне обладнання</w:t>
                      </w:r>
                    </w:p>
                  </w:tc>
                </w:tr>
                <w:tr w:rsidR="00615AA7" w14:paraId="2C5B5E71" w14:textId="77777777">
                  <w:tc>
                    <w:tcPr>
                      <w:tcW w:w="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6A08DD8C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Лот 2</w:t>
                      </w:r>
                    </w:p>
                  </w:tc>
                  <w:tc>
                    <w:tcPr>
                      <w:tcW w:w="47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128268A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highlight w:val="white"/>
                        </w:rPr>
                        <w:t>Телевізійне й аудіовізуальне обладнання</w:t>
                      </w:r>
                    </w:p>
                  </w:tc>
                </w:tr>
                <w:tr w:rsidR="00615AA7" w14:paraId="0C0AD861" w14:textId="77777777">
                  <w:tc>
                    <w:tcPr>
                      <w:tcW w:w="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842D484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Лот 3</w:t>
                      </w:r>
                    </w:p>
                  </w:tc>
                  <w:tc>
                    <w:tcPr>
                      <w:tcW w:w="47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6DFA006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1D35"/>
                          <w:sz w:val="24"/>
                          <w:szCs w:val="24"/>
                          <w:highlight w:val="white"/>
                        </w:rPr>
                        <w:t>Електричне приладдя та супутні товари до електричного обладнання</w:t>
                      </w:r>
                    </w:p>
                  </w:tc>
                </w:tr>
                <w:tr w:rsidR="00615AA7" w14:paraId="211E8F05" w14:textId="77777777">
                  <w:tc>
                    <w:tcPr>
                      <w:tcW w:w="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71BBEAF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Лот 4</w:t>
                      </w:r>
                    </w:p>
                  </w:tc>
                  <w:tc>
                    <w:tcPr>
                      <w:tcW w:w="47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E6EF0F4" w14:textId="77777777" w:rsidR="00615AA7" w:rsidRDefault="007F50BB">
                      <w:pPr>
                        <w:framePr w:hSpace="180" w:wrap="around" w:vAnchor="text" w:hAnchor="text" w:y="1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Все інше обладнання</w:t>
                      </w:r>
                    </w:p>
                  </w:tc>
                </w:tr>
              </w:tbl>
            </w:sdtContent>
          </w:sdt>
          <w:p w14:paraId="2C616625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7BD44DA0" w14:textId="77777777">
        <w:tc>
          <w:tcPr>
            <w:tcW w:w="1025" w:type="dxa"/>
            <w:shd w:val="clear" w:color="auto" w:fill="D9E2F3"/>
          </w:tcPr>
          <w:p w14:paraId="033B68FC" w14:textId="77777777" w:rsidR="00615AA7" w:rsidRDefault="007F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3" w:type="dxa"/>
            <w:shd w:val="clear" w:color="auto" w:fill="D9E2F3"/>
          </w:tcPr>
          <w:p w14:paraId="193732A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доставки</w:t>
            </w:r>
          </w:p>
        </w:tc>
        <w:tc>
          <w:tcPr>
            <w:tcW w:w="5879" w:type="dxa"/>
          </w:tcPr>
          <w:p w14:paraId="759F5031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Якнайшвидше</w:t>
            </w:r>
            <w:proofErr w:type="spellEnd"/>
          </w:p>
        </w:tc>
      </w:tr>
      <w:tr w:rsidR="00615AA7" w14:paraId="5CC20E01" w14:textId="77777777">
        <w:tc>
          <w:tcPr>
            <w:tcW w:w="1025" w:type="dxa"/>
            <w:shd w:val="clear" w:color="auto" w:fill="2F5496"/>
          </w:tcPr>
          <w:p w14:paraId="1AB2EDA3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0" w:right="60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5D533917" w14:textId="77777777" w:rsidR="00615AA7" w:rsidRDefault="007F50B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дійсність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тендерних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пропозицій</w:t>
            </w:r>
            <w:proofErr w:type="spellEnd"/>
          </w:p>
        </w:tc>
      </w:tr>
      <w:tr w:rsidR="00615AA7" w14:paraId="45E242B1" w14:textId="77777777">
        <w:tc>
          <w:tcPr>
            <w:tcW w:w="1025" w:type="dxa"/>
            <w:shd w:val="clear" w:color="auto" w:fill="D9E2F3"/>
          </w:tcPr>
          <w:p w14:paraId="1BA036B9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6C60226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ціни</w:t>
            </w:r>
            <w:proofErr w:type="spellEnd"/>
          </w:p>
        </w:tc>
        <w:tc>
          <w:tcPr>
            <w:tcW w:w="5879" w:type="dxa"/>
          </w:tcPr>
          <w:p w14:paraId="3F15E44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(UAH)</w:t>
            </w:r>
          </w:p>
        </w:tc>
      </w:tr>
      <w:tr w:rsidR="00615AA7" w14:paraId="3A200BAB" w14:textId="77777777">
        <w:tc>
          <w:tcPr>
            <w:tcW w:w="1025" w:type="dxa"/>
            <w:shd w:val="clear" w:color="auto" w:fill="D9E2F3"/>
          </w:tcPr>
          <w:p w14:paraId="1425592B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7DA8A6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9" w:type="dxa"/>
          </w:tcPr>
          <w:p w14:paraId="15FD869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615AA7" w14:paraId="415C53D4" w14:textId="77777777">
        <w:tc>
          <w:tcPr>
            <w:tcW w:w="1025" w:type="dxa"/>
            <w:shd w:val="clear" w:color="auto" w:fill="2F5496"/>
          </w:tcPr>
          <w:p w14:paraId="7A6C724A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58" w:right="58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2D69728D" w14:textId="77777777" w:rsidR="00615AA7" w:rsidRDefault="007F50BB">
            <w:pPr>
              <w:spacing w:before="60" w:after="60"/>
              <w:ind w:left="-15" w:right="58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прийнятності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покладається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615AA7" w14:paraId="4EF87344" w14:textId="77777777">
        <w:tc>
          <w:tcPr>
            <w:tcW w:w="10367" w:type="dxa"/>
            <w:gridSpan w:val="3"/>
            <w:shd w:val="clear" w:color="auto" w:fill="auto"/>
          </w:tcPr>
          <w:p w14:paraId="0E08C63C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3"/>
              <w:tblW w:w="1000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0"/>
              <w:gridCol w:w="2970"/>
              <w:gridCol w:w="6294"/>
            </w:tblGrid>
            <w:tr w:rsidR="00615AA7" w14:paraId="49B454AD" w14:textId="77777777">
              <w:trPr>
                <w:trHeight w:val="436"/>
              </w:trPr>
              <w:tc>
                <w:tcPr>
                  <w:tcW w:w="740" w:type="dxa"/>
                </w:tcPr>
                <w:p w14:paraId="01A99397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618FA646" w14:textId="77777777" w:rsidR="00615AA7" w:rsidRDefault="00615AA7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EEAC1E4" w14:textId="77777777" w:rsidR="00615AA7" w:rsidRDefault="00615AA7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14:paraId="6F1D33CC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офіційно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зареєстрована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підприємець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4E590F7F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Копія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актуальної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виписки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Єдиного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державного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реєстру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юридичних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осіб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фізичних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осіб-підприємців</w:t>
                  </w:r>
                  <w:proofErr w:type="spellEnd"/>
                </w:p>
              </w:tc>
            </w:tr>
            <w:tr w:rsidR="00615AA7" w14:paraId="4C7AE753" w14:textId="77777777">
              <w:trPr>
                <w:trHeight w:val="210"/>
              </w:trPr>
              <w:tc>
                <w:tcPr>
                  <w:tcW w:w="740" w:type="dxa"/>
                </w:tcPr>
                <w:p w14:paraId="26214D03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14:paraId="66942F99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Банківські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дані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5DF2F3AC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банку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відкритий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поточний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реквізитами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заборгованостей</w:t>
                  </w:r>
                  <w:proofErr w:type="spellEnd"/>
                </w:p>
              </w:tc>
            </w:tr>
            <w:tr w:rsidR="00615AA7" w14:paraId="5F9D8E75" w14:textId="77777777">
              <w:trPr>
                <w:trHeight w:val="439"/>
              </w:trPr>
              <w:tc>
                <w:tcPr>
                  <w:tcW w:w="740" w:type="dxa"/>
                </w:tcPr>
                <w:p w14:paraId="22092CD4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14:paraId="5509740A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Документи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що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підтверджують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статус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платника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податку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66B5983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Копія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дійсної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сплату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податків</w:t>
                  </w:r>
                  <w:proofErr w:type="spellEnd"/>
                </w:p>
              </w:tc>
            </w:tr>
            <w:tr w:rsidR="00615AA7" w14:paraId="694B9034" w14:textId="77777777">
              <w:trPr>
                <w:trHeight w:val="674"/>
              </w:trPr>
              <w:tc>
                <w:tcPr>
                  <w:tcW w:w="740" w:type="dxa"/>
                </w:tcPr>
                <w:p w14:paraId="3A6F10D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14:paraId="51E60F5A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Українських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компаній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14:paraId="01E7C43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Виписка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  <w:shd w:val="clear" w:color="auto" w:fill="F8F9F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справ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335F47A0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Сертифікат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02124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несудимість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(для директора)</w:t>
                  </w:r>
                </w:p>
              </w:tc>
            </w:tr>
            <w:tr w:rsidR="00615AA7" w14:paraId="3B1D6EA4" w14:textId="77777777">
              <w:trPr>
                <w:trHeight w:val="210"/>
              </w:trPr>
              <w:tc>
                <w:tcPr>
                  <w:tcW w:w="740" w:type="dxa"/>
                </w:tcPr>
                <w:p w14:paraId="12E80BE3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14:paraId="6B1CB3A4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іноземних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компаній</w:t>
                  </w:r>
                  <w:proofErr w:type="spellEnd"/>
                </w:p>
                <w:p w14:paraId="472492EA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Право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експорт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імпорт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6124EA0E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експортні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імпортні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ліцензії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Україну</w:t>
                  </w:r>
                  <w:proofErr w:type="spellEnd"/>
                </w:p>
                <w:p w14:paraId="60340D20" w14:textId="77777777" w:rsidR="00615AA7" w:rsidRDefault="00615AA7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E86FFF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надайте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план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доставки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</w:t>
                  </w:r>
                  <w:proofErr w:type="spellEnd"/>
                </w:p>
              </w:tc>
            </w:tr>
            <w:tr w:rsidR="00615AA7" w14:paraId="439C69CB" w14:textId="77777777">
              <w:trPr>
                <w:trHeight w:val="874"/>
              </w:trPr>
              <w:tc>
                <w:tcPr>
                  <w:tcW w:w="740" w:type="dxa"/>
                </w:tcPr>
                <w:p w14:paraId="732A5DB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970" w:type="dxa"/>
                </w:tcPr>
                <w:p w14:paraId="3B5A5B5F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тендерної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</w:t>
                  </w:r>
                  <w:proofErr w:type="spellEnd"/>
                </w:p>
              </w:tc>
              <w:tc>
                <w:tcPr>
                  <w:tcW w:w="6294" w:type="dxa"/>
                  <w:shd w:val="clear" w:color="auto" w:fill="FFFFFF"/>
                </w:tcPr>
                <w:p w14:paraId="14702B59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тендерні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скріплені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печаткою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3BB506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Ціна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кошторисі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ціна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,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ціна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вказана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учасником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платформі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playtender.com.ua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мають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бути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однакові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(за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невідповідність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цінової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пропозиції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дискваліфікація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з Тендеру)</w:t>
                  </w:r>
                </w:p>
              </w:tc>
            </w:tr>
            <w:tr w:rsidR="00615AA7" w14:paraId="5F5DDA64" w14:textId="77777777">
              <w:trPr>
                <w:trHeight w:val="525"/>
              </w:trPr>
              <w:tc>
                <w:tcPr>
                  <w:tcW w:w="740" w:type="dxa"/>
                </w:tcPr>
                <w:p w14:paraId="62935694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14:paraId="496D50B2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подібних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поставок</w:t>
                  </w:r>
                </w:p>
              </w:tc>
              <w:tc>
                <w:tcPr>
                  <w:tcW w:w="6294" w:type="dxa"/>
                  <w:shd w:val="clear" w:color="auto" w:fill="FFFFFF"/>
                </w:tcPr>
                <w:p w14:paraId="01BD89D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Копії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контрактів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рахунків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-фактур 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накладних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аналогічні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поставки,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останні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роки</w:t>
                  </w:r>
                </w:p>
              </w:tc>
            </w:tr>
            <w:tr w:rsidR="00615AA7" w14:paraId="3403D7AD" w14:textId="77777777">
              <w:trPr>
                <w:trHeight w:val="210"/>
              </w:trPr>
              <w:tc>
                <w:tcPr>
                  <w:tcW w:w="740" w:type="dxa"/>
                </w:tcPr>
                <w:p w14:paraId="2E900DA4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14:paraId="676818DA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Довіреність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повноваження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директора</w:t>
                  </w:r>
                </w:p>
              </w:tc>
              <w:tc>
                <w:tcPr>
                  <w:tcW w:w="6294" w:type="dxa"/>
                  <w:shd w:val="clear" w:color="auto" w:fill="FFFFFF"/>
                </w:tcPr>
                <w:p w14:paraId="1F8E5FF4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Наказ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довіреність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підтверджує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повноваження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тендерної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учасника</w:t>
                  </w:r>
                  <w:proofErr w:type="spellEnd"/>
                </w:p>
              </w:tc>
            </w:tr>
          </w:tbl>
          <w:p w14:paraId="1275DEFE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FC1161A" w14:textId="77777777">
        <w:tc>
          <w:tcPr>
            <w:tcW w:w="1025" w:type="dxa"/>
            <w:shd w:val="clear" w:color="auto" w:fill="2F5496"/>
          </w:tcPr>
          <w:p w14:paraId="2C6ACC00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58" w:right="58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1820DCBE" w14:textId="77777777" w:rsidR="00615AA7" w:rsidRDefault="007F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4" w:right="58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присудження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контракту</w:t>
            </w:r>
          </w:p>
        </w:tc>
      </w:tr>
      <w:tr w:rsidR="00615AA7" w14:paraId="20F6EC14" w14:textId="77777777">
        <w:tc>
          <w:tcPr>
            <w:tcW w:w="10367" w:type="dxa"/>
            <w:gridSpan w:val="3"/>
            <w:shd w:val="clear" w:color="auto" w:fill="auto"/>
          </w:tcPr>
          <w:p w14:paraId="6D79BC4F" w14:textId="77777777" w:rsidR="00615AA7" w:rsidRDefault="0061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tbl>
            <w:tblPr>
              <w:tblStyle w:val="aff4"/>
              <w:tblW w:w="10005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5"/>
              <w:gridCol w:w="2955"/>
              <w:gridCol w:w="6315"/>
            </w:tblGrid>
            <w:tr w:rsidR="00615AA7" w14:paraId="399E9043" w14:textId="77777777">
              <w:trPr>
                <w:trHeight w:val="418"/>
              </w:trPr>
              <w:tc>
                <w:tcPr>
                  <w:tcW w:w="735" w:type="dxa"/>
                  <w:shd w:val="clear" w:color="auto" w:fill="F2F2F2"/>
                </w:tcPr>
                <w:p w14:paraId="723A0CDF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2955" w:type="dxa"/>
                  <w:shd w:val="clear" w:color="auto" w:fill="F2F2F2"/>
                </w:tcPr>
                <w:p w14:paraId="380CAFB0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Опис</w:t>
                  </w:r>
                  <w:proofErr w:type="spellEnd"/>
                </w:p>
              </w:tc>
              <w:tc>
                <w:tcPr>
                  <w:tcW w:w="6315" w:type="dxa"/>
                  <w:shd w:val="clear" w:color="auto" w:fill="F2F2F2"/>
                </w:tcPr>
                <w:p w14:paraId="59BCC356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Засоби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перевірки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необхідна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документація</w:t>
                  </w:r>
                  <w:proofErr w:type="spellEnd"/>
                </w:p>
              </w:tc>
            </w:tr>
            <w:tr w:rsidR="00615AA7" w14:paraId="257B3B23" w14:textId="77777777">
              <w:trPr>
                <w:trHeight w:val="436"/>
              </w:trPr>
              <w:tc>
                <w:tcPr>
                  <w:tcW w:w="735" w:type="dxa"/>
                </w:tcPr>
                <w:p w14:paraId="131121E6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  <w:p w14:paraId="134E39F1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B118DAB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</w:tcPr>
                <w:p w14:paraId="2B74BF06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Технічна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кваліфікація</w:t>
                  </w:r>
                  <w:proofErr w:type="spellEnd"/>
                </w:p>
              </w:tc>
              <w:tc>
                <w:tcPr>
                  <w:tcW w:w="6315" w:type="dxa"/>
                  <w:shd w:val="clear" w:color="auto" w:fill="FFFFFF"/>
                </w:tcPr>
                <w:p w14:paraId="38D12438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характеристики для кожного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товару, як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Додатку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3 -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Перелік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позицій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67466B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7055B0C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специфікаціям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Додатку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3 -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Перелік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позицій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  <w:p w14:paraId="2382D5F2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D565EAE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жливе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зауваження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Учасники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тендеру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повинні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заповнити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Додаток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3,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щоб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надати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технічну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інформацію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запропоновані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товари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того,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технічні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брошури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технічні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паспорти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продуктів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повинні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бути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як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додатки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тендерної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пропозиції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398865C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5"/>
              <w:tblW w:w="10005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5"/>
              <w:gridCol w:w="2505"/>
              <w:gridCol w:w="885"/>
              <w:gridCol w:w="6210"/>
            </w:tblGrid>
            <w:tr w:rsidR="00615AA7" w14:paraId="5F3D8CF6" w14:textId="77777777">
              <w:tc>
                <w:tcPr>
                  <w:tcW w:w="405" w:type="dxa"/>
                  <w:shd w:val="clear" w:color="auto" w:fill="F2F2F2"/>
                </w:tcPr>
                <w:p w14:paraId="0D672655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2505" w:type="dxa"/>
                  <w:shd w:val="clear" w:color="auto" w:fill="F2F2F2"/>
                </w:tcPr>
                <w:p w14:paraId="4936331D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пис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F2F2F2"/>
                </w:tcPr>
                <w:p w14:paraId="3F53CE21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Вага %</w:t>
                  </w:r>
                </w:p>
              </w:tc>
              <w:tc>
                <w:tcPr>
                  <w:tcW w:w="6210" w:type="dxa"/>
                  <w:shd w:val="clear" w:color="auto" w:fill="F2F2F2"/>
                </w:tcPr>
                <w:p w14:paraId="0D17A5BA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Методологія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оцінювання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засоби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перевірки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необхідна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документація</w:t>
                  </w:r>
                  <w:proofErr w:type="spellEnd"/>
                </w:p>
              </w:tc>
            </w:tr>
            <w:tr w:rsidR="00615AA7" w14:paraId="423EFB42" w14:textId="77777777">
              <w:tc>
                <w:tcPr>
                  <w:tcW w:w="405" w:type="dxa"/>
                </w:tcPr>
                <w:p w14:paraId="5755A2A4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</w:tcPr>
                <w:p w14:paraId="0B4D4F4A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Фінансовий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FFFFFF"/>
                </w:tcPr>
                <w:p w14:paraId="2FE777F7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6210" w:type="dxa"/>
                  <w:shd w:val="clear" w:color="auto" w:fill="FFFFFF"/>
                </w:tcPr>
                <w:p w14:paraId="5DF20D67" w14:textId="77777777" w:rsidR="00615AA7" w:rsidRDefault="007F50BB">
                  <w:pPr>
                    <w:framePr w:hSpace="180" w:wrap="around" w:vAnchor="text" w:hAnchor="text" w:y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Учасники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тендеру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повинні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надати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документацію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інформацією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що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включає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ПДВ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ціну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кожен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товар з,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умовами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оплати.</w:t>
                  </w:r>
                </w:p>
                <w:p w14:paraId="29F91DFB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4FFFFCC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DDP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відповідно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Інкотермс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2020</w:t>
                  </w:r>
                </w:p>
                <w:p w14:paraId="7C05183C" w14:textId="77777777" w:rsidR="00615AA7" w:rsidRDefault="00615AA7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A7FC1E9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Найнижча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пропозиція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отримує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найвищий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бал. Бали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інших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кандидатів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розраховуються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пропорційно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найнижчої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пропозиції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15AA7" w14:paraId="27C40DDE" w14:textId="77777777">
              <w:tc>
                <w:tcPr>
                  <w:tcW w:w="405" w:type="dxa"/>
                </w:tcPr>
                <w:p w14:paraId="0539F73C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5" w:type="dxa"/>
                </w:tcPr>
                <w:p w14:paraId="1BCE6DA0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оплати</w:t>
                  </w:r>
                </w:p>
              </w:tc>
              <w:tc>
                <w:tcPr>
                  <w:tcW w:w="885" w:type="dxa"/>
                  <w:shd w:val="clear" w:color="auto" w:fill="FFFFFF"/>
                </w:tcPr>
                <w:p w14:paraId="595048C6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6210" w:type="dxa"/>
                  <w:shd w:val="clear" w:color="auto" w:fill="FFFFFF"/>
                </w:tcPr>
                <w:p w14:paraId="7804AFDD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оплати 30% авансу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менше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  <w:p w14:paraId="66DBAC9D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оплати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31% та 40% авансу - 15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  <w:p w14:paraId="147A02A4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оплати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41% та 50% авансу - 0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</w:tc>
            </w:tr>
            <w:tr w:rsidR="00615AA7" w14:paraId="310BE53B" w14:textId="77777777">
              <w:tc>
                <w:tcPr>
                  <w:tcW w:w="405" w:type="dxa"/>
                </w:tcPr>
                <w:p w14:paraId="2754D1A5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5" w:type="dxa"/>
                </w:tcPr>
                <w:p w14:paraId="7BFB722B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Умови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поставки</w:t>
                  </w:r>
                </w:p>
              </w:tc>
              <w:tc>
                <w:tcPr>
                  <w:tcW w:w="885" w:type="dxa"/>
                  <w:shd w:val="clear" w:color="auto" w:fill="FFFFFF"/>
                </w:tcPr>
                <w:p w14:paraId="7857C38B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10" w:type="dxa"/>
                  <w:shd w:val="clear" w:color="auto" w:fill="FFFFFF"/>
                </w:tcPr>
                <w:p w14:paraId="59F5A94D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Сроки поставки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після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підписання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контракту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передплати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06CC7EA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менше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тижнів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 - 15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  <w:p w14:paraId="283E26CA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тижнів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тижнів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 - 10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  <w:p w14:paraId="7362D17F" w14:textId="77777777" w:rsidR="00615AA7" w:rsidRDefault="007F50BB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тижнів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 - 0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</w:tc>
            </w:tr>
            <w:tr w:rsidR="00615AA7" w14:paraId="17D9C9AA" w14:textId="77777777">
              <w:trPr>
                <w:trHeight w:val="704"/>
              </w:trPr>
              <w:tc>
                <w:tcPr>
                  <w:tcW w:w="405" w:type="dxa"/>
                </w:tcPr>
                <w:p w14:paraId="3065D815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505" w:type="dxa"/>
                </w:tcPr>
                <w:p w14:paraId="4E1F7AB0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гарантія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FFFFFF"/>
                </w:tcPr>
                <w:p w14:paraId="28B2A2B5" w14:textId="77777777" w:rsidR="00615AA7" w:rsidRDefault="007F50BB">
                  <w:pPr>
                    <w:framePr w:hSpace="180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6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818BB64" w14:textId="77777777" w:rsidR="00615AA7" w:rsidRDefault="007F50BB">
                  <w:pPr>
                    <w:framePr w:hSpace="180" w:wrap="around" w:vAnchor="text" w:hAnchor="text" w:y="1"/>
                    <w:spacing w:after="240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пропонують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гарантійний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місяців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гарантійний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місяці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буде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  <w:proofErr w:type="spellEnd"/>
                </w:p>
              </w:tc>
            </w:tr>
          </w:tbl>
          <w:p w14:paraId="191A4C89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44F4C033" w14:textId="77777777">
        <w:tc>
          <w:tcPr>
            <w:tcW w:w="1025" w:type="dxa"/>
            <w:shd w:val="clear" w:color="auto" w:fill="2F5496"/>
          </w:tcPr>
          <w:p w14:paraId="3BCB799B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0" w:right="60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08050DF2" w14:textId="77777777" w:rsidR="00615AA7" w:rsidRDefault="007F50B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Юридичний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критерій</w:t>
            </w:r>
            <w:proofErr w:type="spellEnd"/>
          </w:p>
        </w:tc>
      </w:tr>
      <w:tr w:rsidR="00615AA7" w14:paraId="74220F32" w14:textId="77777777">
        <w:tc>
          <w:tcPr>
            <w:tcW w:w="1025" w:type="dxa"/>
            <w:shd w:val="clear" w:color="auto" w:fill="D9E2F3"/>
          </w:tcPr>
          <w:p w14:paraId="7C7E42B5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12D2265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879" w:type="dxa"/>
          </w:tcPr>
          <w:p w14:paraId="2314E85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</w:p>
        </w:tc>
      </w:tr>
      <w:tr w:rsidR="00615AA7" w14:paraId="5715AE04" w14:textId="77777777">
        <w:tc>
          <w:tcPr>
            <w:tcW w:w="1025" w:type="dxa"/>
            <w:shd w:val="clear" w:color="auto" w:fill="D9E2F3"/>
          </w:tcPr>
          <w:p w14:paraId="59ADD6D7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7D17E2A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</w:p>
        </w:tc>
        <w:tc>
          <w:tcPr>
            <w:tcW w:w="5879" w:type="dxa"/>
          </w:tcPr>
          <w:p w14:paraId="185FE84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5DE48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AA7" w14:paraId="4F189D7E" w14:textId="77777777">
        <w:tc>
          <w:tcPr>
            <w:tcW w:w="1025" w:type="dxa"/>
            <w:shd w:val="clear" w:color="auto" w:fill="2F5496"/>
          </w:tcPr>
          <w:p w14:paraId="75C1C384" w14:textId="77777777" w:rsidR="00615AA7" w:rsidRDefault="00615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0" w:right="60" w:firstLine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2F5496"/>
          </w:tcPr>
          <w:p w14:paraId="257686A8" w14:textId="77777777" w:rsidR="00615AA7" w:rsidRDefault="007F50B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Присудження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контракту</w:t>
            </w:r>
          </w:p>
        </w:tc>
      </w:tr>
      <w:tr w:rsidR="00615AA7" w14:paraId="03A21681" w14:textId="77777777">
        <w:tc>
          <w:tcPr>
            <w:tcW w:w="1025" w:type="dxa"/>
            <w:shd w:val="clear" w:color="auto" w:fill="D9E2F3"/>
          </w:tcPr>
          <w:p w14:paraId="7E5EC908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1553251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контракту</w:t>
            </w:r>
          </w:p>
        </w:tc>
        <w:tc>
          <w:tcPr>
            <w:tcW w:w="5879" w:type="dxa"/>
          </w:tcPr>
          <w:p w14:paraId="31C23CC5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тристоронній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двомовний</w:t>
            </w:r>
            <w:proofErr w:type="spellEnd"/>
          </w:p>
        </w:tc>
      </w:tr>
      <w:tr w:rsidR="00615AA7" w14:paraId="7EEB9E64" w14:textId="77777777">
        <w:tc>
          <w:tcPr>
            <w:tcW w:w="1025" w:type="dxa"/>
            <w:shd w:val="clear" w:color="auto" w:fill="D9E2F3"/>
          </w:tcPr>
          <w:p w14:paraId="7C460A88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260F0209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Дата початку контракту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)</w:t>
            </w:r>
          </w:p>
        </w:tc>
        <w:tc>
          <w:tcPr>
            <w:tcW w:w="5879" w:type="dxa"/>
          </w:tcPr>
          <w:p w14:paraId="28CDEC36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Якнайшвидше</w:t>
            </w:r>
            <w:proofErr w:type="spellEnd"/>
          </w:p>
        </w:tc>
      </w:tr>
      <w:tr w:rsidR="00615AA7" w14:paraId="2CA44EF1" w14:textId="77777777">
        <w:tc>
          <w:tcPr>
            <w:tcW w:w="1025" w:type="dxa"/>
            <w:shd w:val="clear" w:color="auto" w:fill="D9E2F3"/>
          </w:tcPr>
          <w:p w14:paraId="30286D2C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19F0FACB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 xml:space="preserve"> контракту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E2F3"/>
              </w:rPr>
              <w:t>)</w:t>
            </w:r>
          </w:p>
        </w:tc>
        <w:tc>
          <w:tcPr>
            <w:tcW w:w="5879" w:type="dxa"/>
          </w:tcPr>
          <w:p w14:paraId="4CD1EE0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Якнайшвидше</w:t>
            </w:r>
            <w:proofErr w:type="spellEnd"/>
          </w:p>
        </w:tc>
      </w:tr>
      <w:tr w:rsidR="00615AA7" w14:paraId="6D6EE5CB" w14:textId="77777777">
        <w:tc>
          <w:tcPr>
            <w:tcW w:w="1025" w:type="dxa"/>
            <w:shd w:val="clear" w:color="auto" w:fill="D9E2F3"/>
          </w:tcPr>
          <w:p w14:paraId="36753E55" w14:textId="77777777" w:rsidR="00615AA7" w:rsidRDefault="00615A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shd w:val="clear" w:color="auto" w:fill="D9E2F3"/>
          </w:tcPr>
          <w:p w14:paraId="4AE500F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5879" w:type="dxa"/>
          </w:tcPr>
          <w:p w14:paraId="4E64005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</w:p>
        </w:tc>
      </w:tr>
    </w:tbl>
    <w:p w14:paraId="5272A02B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7828B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ІНСТРУКЦІЯ УЧАСНИКАМ</w:t>
      </w:r>
    </w:p>
    <w:p w14:paraId="0DD7B7B6" w14:textId="77777777" w:rsidR="00615AA7" w:rsidRDefault="00615AA7">
      <w:pPr>
        <w:pStyle w:val="af5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F70D9" w14:textId="77777777" w:rsidR="00615AA7" w:rsidRDefault="007F50BB">
      <w:pPr>
        <w:pStyle w:val="af5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регулюють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 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відмовляєтьс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9035C" w14:textId="77777777" w:rsidR="00615AA7" w:rsidRDefault="007F50BB">
      <w:pPr>
        <w:pStyle w:val="af5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Очікується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вивчати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інструкцій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форм,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52A1AE" w14:textId="77777777" w:rsidR="00615AA7" w:rsidRDefault="007F50BB">
      <w:pPr>
        <w:pStyle w:val="af5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призведе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відхилення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1986E" w14:textId="77777777" w:rsidR="00615AA7" w:rsidRDefault="007F50BB">
      <w:pPr>
        <w:pStyle w:val="af5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враховувати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будь-яке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призведе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відхилення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</w:t>
      </w:r>
      <w:r>
        <w:rPr>
          <w:rFonts w:ascii="Times New Roman" w:eastAsia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11967D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73425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поставки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супутніх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послуг</w:t>
      </w:r>
      <w:proofErr w:type="spellEnd"/>
    </w:p>
    <w:p w14:paraId="2028374D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41DE3FDE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контракту є поставка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3.</w:t>
      </w:r>
    </w:p>
    <w:p w14:paraId="0644F8A6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3B958" w14:textId="77777777" w:rsidR="00615AA7" w:rsidRDefault="007F50BB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Доставка:</w:t>
      </w:r>
    </w:p>
    <w:p w14:paraId="6CEA31EB" w14:textId="77777777" w:rsidR="00615AA7" w:rsidRDefault="007F50BB">
      <w:pPr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доставлені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3.</w:t>
      </w:r>
    </w:p>
    <w:p w14:paraId="6F89F31D" w14:textId="77777777" w:rsidR="00615AA7" w:rsidRDefault="00615AA7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08B5C" w14:textId="77777777" w:rsidR="00615AA7" w:rsidRDefault="007F50BB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Технічні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характеристики:</w:t>
      </w:r>
    </w:p>
    <w:p w14:paraId="392F0A96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викладеними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відношеннях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моделям,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номерам 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брендам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вказаним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</w:p>
    <w:p w14:paraId="5CB5DEE1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343508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умови</w:t>
      </w:r>
      <w:proofErr w:type="spellEnd"/>
    </w:p>
    <w:p w14:paraId="15E33ED6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здійснені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нтрактуючим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1.</w:t>
      </w:r>
    </w:p>
    <w:p w14:paraId="49EE63CB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74A98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тендеру</w:t>
      </w:r>
    </w:p>
    <w:p w14:paraId="50759FFB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підготовкою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результату тендерного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73633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73073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Запитання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роз'яснення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інформація</w:t>
      </w:r>
      <w:proofErr w:type="spellEnd"/>
    </w:p>
    <w:p w14:paraId="694A7129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про тендер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7E41360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82FC7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роз’яснення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тендеру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про тендер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1DDC055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84AF4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роз’яснень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бажає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зустрічі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органом та/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асоційованою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виключений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D056D2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F8A83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hr999n5gq36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Плановий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графік</w:t>
      </w:r>
      <w:proofErr w:type="spellEnd"/>
    </w:p>
    <w:p w14:paraId="0D917D5D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собою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час, у такому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проінформовані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30DFD" w14:textId="77777777" w:rsidR="00615AA7" w:rsidRDefault="007F50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BBC550A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ідповідають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часовому поясу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орган.</w:t>
      </w:r>
    </w:p>
    <w:p w14:paraId="431727F7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50592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тендерів</w:t>
      </w:r>
      <w:proofErr w:type="spellEnd"/>
    </w:p>
    <w:p w14:paraId="40939FE2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кореспонденція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обмінюються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англійською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Супровідні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друкована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6985E0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1EE57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оцінювання</w:t>
      </w:r>
      <w:proofErr w:type="spellEnd"/>
    </w:p>
    <w:p w14:paraId="25616523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(як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п.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укладання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контрак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тів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B.9Критерії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тендеру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детальну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B.10.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Критерії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присудження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контракту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створений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повинен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71A7EA" w14:textId="77777777" w:rsidR="00615AA7" w:rsidRDefault="007F5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кінцевого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7437853" w14:textId="77777777" w:rsidR="00615AA7" w:rsidRDefault="007F5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6BEA76" w14:textId="77777777" w:rsidR="00615AA7" w:rsidRDefault="007F5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0E7054" w14:textId="77777777" w:rsidR="00615AA7" w:rsidRDefault="007F5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помилок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F840F3" w14:textId="77777777" w:rsidR="00615AA7" w:rsidRDefault="00615AA7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07CA0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несуттєві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відхилення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умов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специфікацій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розглядатиметься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9D181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Потім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</w:t>
      </w:r>
      <w:r>
        <w:rPr>
          <w:rFonts w:ascii="Times New Roman" w:eastAsia="Times New Roman" w:hAnsi="Times New Roman" w:cs="Times New Roman"/>
          <w:sz w:val="24"/>
          <w:szCs w:val="24"/>
        </w:rPr>
        <w:t>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класифікуючи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невідповідну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87115D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sz w:val="24"/>
          <w:szCs w:val="24"/>
        </w:rPr>
        <w:t>фметичних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помилок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вказаними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цифрами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сума, написана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наведена ставка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відмовляється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відхилена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1EBE8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41C4B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rozfc8z3mrhr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Виключення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укладання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контрактів</w:t>
      </w:r>
      <w:proofErr w:type="spellEnd"/>
    </w:p>
    <w:p w14:paraId="4FAE2A35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виключаються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перелічених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Додаток 1: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контрактів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поставки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.</w:t>
      </w:r>
    </w:p>
    <w:p w14:paraId="67961F99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72373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13.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Дитяча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примусова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праця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та ст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15.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Боротьба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відмиванням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грошей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фінансуванням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тероризму»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Корупційні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поставки.</w:t>
      </w:r>
    </w:p>
    <w:p w14:paraId="1527B7B7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F9F27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виключаються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49736E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E421D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2008/841/JHA (1);</w:t>
      </w:r>
    </w:p>
    <w:p w14:paraId="629B35BD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Співтовариств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держав-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Союзу (2)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2003/568/JHA (3),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оператора;</w:t>
      </w:r>
    </w:p>
    <w:p w14:paraId="77698061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шахрайство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Співтовариств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(4);</w:t>
      </w:r>
    </w:p>
    <w:p w14:paraId="256EF895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пов'язані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і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2002/475/JHA (5),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підбурювання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підбурювання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342F9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відмивання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тероризму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2005/60/ЄС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(6);</w:t>
      </w:r>
    </w:p>
    <w:p w14:paraId="086D11F1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людьми,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2011/36/ЄС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Ради;</w:t>
      </w:r>
    </w:p>
    <w:p w14:paraId="5B5608F7" w14:textId="77777777" w:rsidR="00615AA7" w:rsidRDefault="007F5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A2D156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8F69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Додатку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2: 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засвідчують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вищезазначеним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вимагається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задовольняють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сертифікатів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сертифікати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недоступні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присягою.</w:t>
      </w:r>
    </w:p>
    <w:p w14:paraId="629B6757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85748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повинен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застосованим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96DD3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71D7B" w14:textId="77777777" w:rsidR="00615AA7" w:rsidRDefault="007F50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Контракти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укладені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учасниками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торгів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D2CBC1" w14:textId="77777777" w:rsidR="00615AA7" w:rsidRDefault="007F50B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 предметом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інтересів</w:t>
      </w:r>
      <w:proofErr w:type="spellEnd"/>
    </w:p>
    <w:p w14:paraId="7BDF7D4E" w14:textId="77777777" w:rsidR="00615AA7" w:rsidRDefault="007F50B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введенні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неправдивих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72381" w14:textId="77777777" w:rsidR="00615AA7" w:rsidRDefault="007F50B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потурають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терплять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корупційні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шахрайські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змовні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примусові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79E39B" w14:textId="77777777" w:rsidR="00615AA7" w:rsidRDefault="007F50BB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Здійсню</w:t>
      </w:r>
      <w:r>
        <w:rPr>
          <w:rFonts w:ascii="Times New Roman" w:eastAsia="Times New Roman" w:hAnsi="Times New Roman" w:cs="Times New Roman"/>
          <w:sz w:val="24"/>
          <w:szCs w:val="24"/>
        </w:rPr>
        <w:t>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оціночну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порівняння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те,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просувається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контракту.</w:t>
      </w:r>
    </w:p>
    <w:p w14:paraId="161D7FB0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83644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69271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x1nvw9153ofw" w:colFirst="0" w:colLast="0"/>
      <w:bookmarkEnd w:id="3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тендеру</w:t>
      </w:r>
    </w:p>
    <w:p w14:paraId="592CB451" w14:textId="77777777" w:rsidR="00615AA7" w:rsidRDefault="007F50B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спочатку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перевірені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Перераховані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E7B44" w14:textId="77777777" w:rsidR="00615AA7" w:rsidRDefault="007F50B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тендеру.</w:t>
      </w:r>
    </w:p>
    <w:p w14:paraId="7D9BB27F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xfl1lbtqd9ut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присудження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контракту</w:t>
      </w:r>
    </w:p>
    <w:p w14:paraId="591BA753" w14:textId="77777777" w:rsidR="00615AA7" w:rsidRDefault="007F50B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оцінюватися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EF84B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80042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входять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складу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3EEA17E" w14:textId="77777777" w:rsidR="00615AA7" w:rsidRDefault="007F50B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повинен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подати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B63D7B" w14:textId="77777777" w:rsidR="00615AA7" w:rsidRDefault="007F50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дійсного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витягу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ЄДР.</w:t>
      </w:r>
    </w:p>
    <w:p w14:paraId="6E61884C" w14:textId="77777777" w:rsidR="00615AA7" w:rsidRDefault="007F50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Довідка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несудимість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Директора </w:t>
      </w:r>
    </w:p>
    <w:p w14:paraId="2EB6CC0A" w14:textId="77777777" w:rsidR="00615AA7" w:rsidRDefault="007F50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дійсної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довідки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сплату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5BE5BFF" w14:textId="77777777" w:rsidR="00615AA7" w:rsidRDefault="007F50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Довіреність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/наказ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Уповноважуючі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Директора .</w:t>
      </w:r>
      <w:proofErr w:type="gramEnd"/>
    </w:p>
    <w:p w14:paraId="62DC2099" w14:textId="77777777" w:rsidR="00615AA7" w:rsidRDefault="007F50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Виписка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банківського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рахунку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заборгованностей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1DB7B0E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C8A06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Ціна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817DC07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валюті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0B5D5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повинна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2.1: 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коригуванням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</w:rPr>
        <w:t>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рахунку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винятком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контракту.</w:t>
      </w:r>
    </w:p>
    <w:p w14:paraId="272C9C8C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рахунки-фактури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7E7D79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8A43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пропозицій</w:t>
      </w:r>
      <w:proofErr w:type="spellEnd"/>
    </w:p>
    <w:p w14:paraId="79E4F731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дійсними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відкритими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</w:t>
      </w:r>
      <w:r>
        <w:rPr>
          <w:rFonts w:ascii="Times New Roman" w:eastAsia="Times New Roman" w:hAnsi="Times New Roman" w:cs="Times New Roman"/>
          <w:sz w:val="24"/>
          <w:szCs w:val="24"/>
        </w:rPr>
        <w:t>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Кінцевої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BFE3F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початкового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об’єктивних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попросити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не буде дозволено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припиняється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85A301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B61B0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c6qzx4im9alr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закриття</w:t>
      </w:r>
      <w:proofErr w:type="spellEnd"/>
    </w:p>
    <w:p w14:paraId="256F6E63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.</w:t>
      </w:r>
    </w:p>
    <w:p w14:paraId="3EEA9073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Жодна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відкликана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кінцевого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4665E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7EEC6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пропозицій</w:t>
      </w:r>
      <w:proofErr w:type="spellEnd"/>
    </w:p>
    <w:p w14:paraId="07201ED7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вказана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2.</w:t>
      </w:r>
    </w:p>
    <w:p w14:paraId="764BC9C9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запрошено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зв’язатися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контактною особою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принаймні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</w:t>
      </w:r>
      <w:r>
        <w:rPr>
          <w:rFonts w:ascii="Times New Roman" w:eastAsia="Times New Roman" w:hAnsi="Times New Roman" w:cs="Times New Roman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92040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розписуються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явку.</w:t>
      </w:r>
    </w:p>
    <w:p w14:paraId="2BA71762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зачитуються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вголос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записуються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8E62A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2B1BF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Присудження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контракту</w:t>
      </w:r>
    </w:p>
    <w:p w14:paraId="74C9DA14" w14:textId="77777777" w:rsidR="00615AA7" w:rsidRDefault="007F5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присудить контракт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найвищу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02E78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39F84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Підписання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контракту</w:t>
      </w:r>
    </w:p>
    <w:p w14:paraId="44CB5069" w14:textId="77777777" w:rsidR="00615AA7" w:rsidRDefault="007F50BB">
      <w:pPr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переможця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про 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стали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переможцями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8B498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50D01" w14:textId="77777777" w:rsidR="00615AA7" w:rsidRDefault="007F50BB">
      <w:pPr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собою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ригувати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діапазоні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+/- 25%,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залишатися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0946A" w14:textId="77777777" w:rsidR="00615AA7" w:rsidRDefault="007F50BB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межах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переможець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повинен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повернути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sz w:val="24"/>
          <w:szCs w:val="24"/>
        </w:rPr>
        <w:t>рактуючому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органу.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переможець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стане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Підрядником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контракт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набуде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Контракт,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надсилаються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оригінальному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паперовому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повернуто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 шляхом.</w:t>
      </w:r>
    </w:p>
    <w:p w14:paraId="1BEA7111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05965" w14:textId="77777777" w:rsidR="00615AA7" w:rsidRDefault="007F50BB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>реможець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 та в межах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моменту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Орган-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скасованим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вимагати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використову</w:t>
      </w:r>
      <w:r>
        <w:rPr>
          <w:rFonts w:ascii="Times New Roman" w:eastAsia="Times New Roman" w:hAnsi="Times New Roman" w:cs="Times New Roman"/>
          <w:sz w:val="24"/>
          <w:szCs w:val="24"/>
        </w:rPr>
        <w:t>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неспроможності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переможець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претензій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органу.</w:t>
      </w:r>
    </w:p>
    <w:p w14:paraId="04721E5C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35869" w14:textId="77777777" w:rsidR="00615AA7" w:rsidRDefault="007F5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Скасування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зручності</w:t>
      </w:r>
      <w:proofErr w:type="spellEnd"/>
    </w:p>
    <w:p w14:paraId="00637556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Контрактуючий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зручності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без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зобов’яза</w:t>
      </w:r>
      <w:r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скасувати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918C5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B22C5" w14:textId="77777777" w:rsidR="00921558" w:rsidRDefault="009215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71F85" w14:textId="77777777" w:rsidR="00615AA7" w:rsidRDefault="007F50BB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 Форма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</w:p>
    <w:p w14:paraId="4E90DC1A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6"/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24"/>
      </w:tblGrid>
      <w:tr w:rsidR="00615AA7" w14:paraId="2A7CF40C" w14:textId="77777777">
        <w:trPr>
          <w:trHeight w:val="101"/>
        </w:trPr>
        <w:tc>
          <w:tcPr>
            <w:tcW w:w="3708" w:type="dxa"/>
            <w:shd w:val="clear" w:color="auto" w:fill="E6E6E6"/>
          </w:tcPr>
          <w:p w14:paraId="2658A06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компанії-учасника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тендеру):</w:t>
            </w:r>
          </w:p>
        </w:tc>
        <w:tc>
          <w:tcPr>
            <w:tcW w:w="5824" w:type="dxa"/>
            <w:shd w:val="clear" w:color="auto" w:fill="auto"/>
          </w:tcPr>
          <w:p w14:paraId="310F13F2" w14:textId="77777777" w:rsidR="00615AA7" w:rsidRDefault="00615A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5AA7" w14:paraId="6DEE3E26" w14:textId="77777777">
        <w:tc>
          <w:tcPr>
            <w:tcW w:w="3708" w:type="dxa"/>
            <w:shd w:val="clear" w:color="auto" w:fill="E6E6E6"/>
          </w:tcPr>
          <w:p w14:paraId="16AB2EA1" w14:textId="77777777" w:rsidR="00615AA7" w:rsidRDefault="007F50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Контактна особа:</w:t>
            </w:r>
          </w:p>
        </w:tc>
        <w:tc>
          <w:tcPr>
            <w:tcW w:w="5824" w:type="dxa"/>
            <w:shd w:val="clear" w:color="auto" w:fill="auto"/>
          </w:tcPr>
          <w:p w14:paraId="402887CB" w14:textId="77777777" w:rsidR="00615AA7" w:rsidRDefault="00615A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7D33BFA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0CF8C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ГРАФІК ЦІН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валюта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вставляються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учасником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тендеру)</w:t>
      </w:r>
    </w:p>
    <w:tbl>
      <w:tblPr>
        <w:tblStyle w:val="aff7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37"/>
        <w:gridCol w:w="900"/>
        <w:gridCol w:w="2160"/>
        <w:gridCol w:w="2610"/>
      </w:tblGrid>
      <w:tr w:rsidR="00615AA7" w14:paraId="6D1780B2" w14:textId="77777777">
        <w:trPr>
          <w:cantSplit/>
        </w:trPr>
        <w:tc>
          <w:tcPr>
            <w:tcW w:w="828" w:type="dxa"/>
            <w:vMerge w:val="restart"/>
            <w:shd w:val="clear" w:color="auto" w:fill="E6E6E6"/>
          </w:tcPr>
          <w:p w14:paraId="7316ECA6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037" w:type="dxa"/>
            <w:vMerge w:val="restart"/>
            <w:shd w:val="clear" w:color="auto" w:fill="E6E6E6"/>
          </w:tcPr>
          <w:p w14:paraId="51817E63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постачання</w:t>
            </w:r>
            <w:proofErr w:type="spellEnd"/>
          </w:p>
        </w:tc>
        <w:tc>
          <w:tcPr>
            <w:tcW w:w="900" w:type="dxa"/>
            <w:vMerge w:val="restart"/>
            <w:shd w:val="clear" w:color="auto" w:fill="E6E6E6"/>
          </w:tcPr>
          <w:p w14:paraId="6FDA6CF6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99300C5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Валюта: ГРН/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Євро</w:t>
            </w:r>
            <w:proofErr w:type="spellEnd"/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07915286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639F08D7" w14:textId="77777777">
        <w:trPr>
          <w:cantSplit/>
        </w:trPr>
        <w:tc>
          <w:tcPr>
            <w:tcW w:w="828" w:type="dxa"/>
            <w:vMerge/>
            <w:shd w:val="clear" w:color="auto" w:fill="E6E6E6"/>
          </w:tcPr>
          <w:p w14:paraId="39B11856" w14:textId="77777777" w:rsidR="00615AA7" w:rsidRDefault="0061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E6E6E6"/>
          </w:tcPr>
          <w:p w14:paraId="59FF75D4" w14:textId="77777777" w:rsidR="00615AA7" w:rsidRDefault="0061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14:paraId="38583702" w14:textId="77777777" w:rsidR="00615AA7" w:rsidRDefault="0061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6E6E6"/>
          </w:tcPr>
          <w:p w14:paraId="2B431E45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одиницю</w:t>
            </w:r>
            <w:proofErr w:type="spellEnd"/>
          </w:p>
          <w:p w14:paraId="48ED0F0A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вставити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інкотермс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610" w:type="dxa"/>
            <w:shd w:val="clear" w:color="auto" w:fill="E6E6E6"/>
          </w:tcPr>
          <w:p w14:paraId="4966C188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сума</w:t>
            </w:r>
          </w:p>
          <w:p w14:paraId="061B6284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вставити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інкотермс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&gt;</w:t>
            </w:r>
          </w:p>
        </w:tc>
      </w:tr>
      <w:tr w:rsidR="00615AA7" w14:paraId="2C4D660A" w14:textId="77777777">
        <w:tc>
          <w:tcPr>
            <w:tcW w:w="828" w:type="dxa"/>
          </w:tcPr>
          <w:p w14:paraId="6723045C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14:paraId="456B189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вставте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товару&gt;</w:t>
            </w:r>
          </w:p>
        </w:tc>
        <w:tc>
          <w:tcPr>
            <w:tcW w:w="900" w:type="dxa"/>
          </w:tcPr>
          <w:p w14:paraId="389BF4AF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06B983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07AB8E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7308B06D" w14:textId="77777777">
        <w:tc>
          <w:tcPr>
            <w:tcW w:w="828" w:type="dxa"/>
          </w:tcPr>
          <w:p w14:paraId="30506659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14:paraId="1773409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вставте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товару&gt;</w:t>
            </w:r>
          </w:p>
        </w:tc>
        <w:tc>
          <w:tcPr>
            <w:tcW w:w="900" w:type="dxa"/>
          </w:tcPr>
          <w:p w14:paraId="3B80EB85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D815EC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CDD8F4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30B85DD2" w14:textId="77777777">
        <w:tc>
          <w:tcPr>
            <w:tcW w:w="828" w:type="dxa"/>
          </w:tcPr>
          <w:p w14:paraId="2F6530BF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14:paraId="580BDFA2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8F384B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6F8B68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43FFC8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1EAB80D8" w14:textId="77777777">
        <w:tc>
          <w:tcPr>
            <w:tcW w:w="828" w:type="dxa"/>
          </w:tcPr>
          <w:p w14:paraId="2BF403AD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14:paraId="4B3DDB24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0CBF02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087BC7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816925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2E1F75D1" w14:textId="77777777">
        <w:tc>
          <w:tcPr>
            <w:tcW w:w="828" w:type="dxa"/>
          </w:tcPr>
          <w:p w14:paraId="347A8E20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</w:tcPr>
          <w:p w14:paraId="5CAB292E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57B576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D92AFD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52EB73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0CBB8B99" w14:textId="77777777">
        <w:tc>
          <w:tcPr>
            <w:tcW w:w="6925" w:type="dxa"/>
            <w:gridSpan w:val="4"/>
            <w:shd w:val="clear" w:color="auto" w:fill="E6E6E6"/>
          </w:tcPr>
          <w:p w14:paraId="07F7A101" w14:textId="77777777" w:rsidR="00615AA7" w:rsidRDefault="007F50BB">
            <w:pPr>
              <w:tabs>
                <w:tab w:val="left" w:pos="709"/>
                <w:tab w:val="left" w:pos="851"/>
                <w:tab w:val="left" w:pos="1134"/>
                <w:tab w:val="left" w:pos="1418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Доставка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3.1 </w:t>
            </w:r>
          </w:p>
          <w:p w14:paraId="41E8612E" w14:textId="77777777" w:rsidR="00615AA7" w:rsidRDefault="00615A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E6E6E6"/>
          </w:tcPr>
          <w:p w14:paraId="0AE4F5EF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A7" w14:paraId="257C4F23" w14:textId="77777777">
        <w:tc>
          <w:tcPr>
            <w:tcW w:w="692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E721C9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використовуватиметься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оціночна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 “ДОККУ”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CE25" w14:textId="77777777" w:rsidR="00615AA7" w:rsidRDefault="00615A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F4C88F" w14:textId="77777777" w:rsidR="00615AA7" w:rsidRDefault="00615A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EDD6E" w14:textId="77777777" w:rsidR="00615AA7" w:rsidRDefault="00615A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8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721"/>
      </w:tblGrid>
      <w:tr w:rsidR="00615AA7" w14:paraId="51B2F8DE" w14:textId="77777777">
        <w:tc>
          <w:tcPr>
            <w:tcW w:w="4814" w:type="dxa"/>
            <w:shd w:val="clear" w:color="auto" w:fill="E6E6E6"/>
          </w:tcPr>
          <w:p w14:paraId="4641A9BD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яку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вимагає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21" w:type="dxa"/>
            <w:shd w:val="clear" w:color="auto" w:fill="E6E6E6"/>
          </w:tcPr>
          <w:p w14:paraId="60199D43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яку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тендеру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колонках:</w:t>
            </w:r>
          </w:p>
        </w:tc>
      </w:tr>
      <w:tr w:rsidR="00615AA7" w14:paraId="5F62AD21" w14:textId="77777777">
        <w:tc>
          <w:tcPr>
            <w:tcW w:w="4814" w:type="dxa"/>
          </w:tcPr>
          <w:p w14:paraId="5A023B35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доставки</w:t>
            </w:r>
          </w:p>
        </w:tc>
        <w:tc>
          <w:tcPr>
            <w:tcW w:w="4721" w:type="dxa"/>
          </w:tcPr>
          <w:p w14:paraId="22A642F0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688CA9D5" w14:textId="77777777">
        <w:tc>
          <w:tcPr>
            <w:tcW w:w="4814" w:type="dxa"/>
          </w:tcPr>
          <w:p w14:paraId="6798B0D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доставки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67C415FE" w14:textId="77777777" w:rsidR="00615AA7" w:rsidRDefault="007F50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615AA7" w14:paraId="7ABA0E5F" w14:textId="77777777">
        <w:tc>
          <w:tcPr>
            <w:tcW w:w="4814" w:type="dxa"/>
          </w:tcPr>
          <w:p w14:paraId="775C342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4721" w:type="dxa"/>
          </w:tcPr>
          <w:p w14:paraId="274AC6D1" w14:textId="77777777" w:rsidR="00615AA7" w:rsidRDefault="007F50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615AA7" w14:paraId="1732FD5A" w14:textId="77777777">
        <w:tc>
          <w:tcPr>
            <w:tcW w:w="4814" w:type="dxa"/>
          </w:tcPr>
          <w:p w14:paraId="4EC65988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доставки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4721" w:type="dxa"/>
          </w:tcPr>
          <w:p w14:paraId="2A659C89" w14:textId="77777777" w:rsidR="00615AA7" w:rsidRDefault="007F50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615AA7" w14:paraId="68B263A5" w14:textId="77777777">
        <w:tc>
          <w:tcPr>
            <w:tcW w:w="4814" w:type="dxa"/>
          </w:tcPr>
          <w:p w14:paraId="1A2E2769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Упаковка:</w:t>
            </w:r>
          </w:p>
        </w:tc>
        <w:tc>
          <w:tcPr>
            <w:tcW w:w="4721" w:type="dxa"/>
          </w:tcPr>
          <w:p w14:paraId="77AAA615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6699A4DA" w14:textId="77777777">
        <w:tc>
          <w:tcPr>
            <w:tcW w:w="4814" w:type="dxa"/>
          </w:tcPr>
          <w:p w14:paraId="1EA5A01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Елемент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Партія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вага брутто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(куб. м)</w:t>
            </w:r>
          </w:p>
        </w:tc>
        <w:tc>
          <w:tcPr>
            <w:tcW w:w="4721" w:type="dxa"/>
          </w:tcPr>
          <w:p w14:paraId="52FA4799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</w:tr>
      <w:tr w:rsidR="00615AA7" w14:paraId="3BEA8997" w14:textId="77777777">
        <w:tc>
          <w:tcPr>
            <w:tcW w:w="4814" w:type="dxa"/>
          </w:tcPr>
          <w:p w14:paraId="2F562B18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Елемент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Партія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вага брутто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(куб. м)</w:t>
            </w:r>
          </w:p>
        </w:tc>
        <w:tc>
          <w:tcPr>
            <w:tcW w:w="4721" w:type="dxa"/>
          </w:tcPr>
          <w:p w14:paraId="17C000C7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</w:tr>
      <w:tr w:rsidR="00615AA7" w14:paraId="5FD6BACA" w14:textId="77777777">
        <w:tc>
          <w:tcPr>
            <w:tcW w:w="4814" w:type="dxa"/>
          </w:tcPr>
          <w:p w14:paraId="2FAD41A5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вставити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рядок для кожного лота/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4721" w:type="dxa"/>
          </w:tcPr>
          <w:p w14:paraId="24BC1DFA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12E5705D" w14:textId="77777777">
        <w:tc>
          <w:tcPr>
            <w:tcW w:w="4814" w:type="dxa"/>
          </w:tcPr>
          <w:p w14:paraId="4BC8AF59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товарів</w:t>
            </w:r>
            <w:proofErr w:type="spellEnd"/>
          </w:p>
        </w:tc>
        <w:tc>
          <w:tcPr>
            <w:tcW w:w="4721" w:type="dxa"/>
          </w:tcPr>
          <w:p w14:paraId="6CFBCC9C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464A6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687"/>
      </w:tblGrid>
      <w:tr w:rsidR="00615AA7" w14:paraId="440F5A1D" w14:textId="77777777">
        <w:trPr>
          <w:cantSplit/>
        </w:trPr>
        <w:tc>
          <w:tcPr>
            <w:tcW w:w="9535" w:type="dxa"/>
            <w:gridSpan w:val="2"/>
            <w:shd w:val="clear" w:color="auto" w:fill="E6E6E6"/>
          </w:tcPr>
          <w:p w14:paraId="3465E502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тендеру</w:t>
            </w:r>
          </w:p>
        </w:tc>
      </w:tr>
      <w:tr w:rsidR="00615AA7" w14:paraId="0F88E054" w14:textId="77777777">
        <w:tc>
          <w:tcPr>
            <w:tcW w:w="3848" w:type="dxa"/>
          </w:tcPr>
          <w:p w14:paraId="1C00E2F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7" w:type="dxa"/>
          </w:tcPr>
          <w:p w14:paraId="690F6B00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2B8EEAA9" w14:textId="77777777">
        <w:tc>
          <w:tcPr>
            <w:tcW w:w="3848" w:type="dxa"/>
          </w:tcPr>
          <w:p w14:paraId="1112BDA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номер.</w:t>
            </w:r>
          </w:p>
        </w:tc>
        <w:tc>
          <w:tcPr>
            <w:tcW w:w="5687" w:type="dxa"/>
          </w:tcPr>
          <w:p w14:paraId="17016511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01C656A5" w14:textId="77777777">
        <w:tc>
          <w:tcPr>
            <w:tcW w:w="3848" w:type="dxa"/>
          </w:tcPr>
          <w:p w14:paraId="24CD12B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</w:t>
            </w:r>
            <w:proofErr w:type="spellEnd"/>
          </w:p>
        </w:tc>
        <w:tc>
          <w:tcPr>
            <w:tcW w:w="5687" w:type="dxa"/>
          </w:tcPr>
          <w:p w14:paraId="6A52B3BD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4974334" w14:textId="77777777">
        <w:tc>
          <w:tcPr>
            <w:tcW w:w="3848" w:type="dxa"/>
          </w:tcPr>
          <w:p w14:paraId="30F6AA85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індекс</w:t>
            </w:r>
            <w:proofErr w:type="spellEnd"/>
          </w:p>
        </w:tc>
        <w:tc>
          <w:tcPr>
            <w:tcW w:w="5687" w:type="dxa"/>
          </w:tcPr>
          <w:p w14:paraId="01F87B1A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1880BEBC" w14:textId="77777777">
        <w:tc>
          <w:tcPr>
            <w:tcW w:w="3848" w:type="dxa"/>
          </w:tcPr>
          <w:p w14:paraId="29F9E28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7" w:type="dxa"/>
          </w:tcPr>
          <w:p w14:paraId="7275490F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4F6BCAD8" w14:textId="77777777">
        <w:tc>
          <w:tcPr>
            <w:tcW w:w="3848" w:type="dxa"/>
          </w:tcPr>
          <w:p w14:paraId="1E21F68F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17FC91A3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7389A06D" w14:textId="77777777">
        <w:tc>
          <w:tcPr>
            <w:tcW w:w="3848" w:type="dxa"/>
          </w:tcPr>
          <w:p w14:paraId="755195E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телефону.:</w:t>
            </w:r>
          </w:p>
        </w:tc>
        <w:tc>
          <w:tcPr>
            <w:tcW w:w="5687" w:type="dxa"/>
          </w:tcPr>
          <w:p w14:paraId="55F00200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2BAC789C" w14:textId="77777777">
        <w:tc>
          <w:tcPr>
            <w:tcW w:w="3848" w:type="dxa"/>
          </w:tcPr>
          <w:p w14:paraId="01DC5B0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5687" w:type="dxa"/>
          </w:tcPr>
          <w:p w14:paraId="7D9DD976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5EAB5740" w14:textId="77777777">
        <w:tc>
          <w:tcPr>
            <w:tcW w:w="3848" w:type="dxa"/>
          </w:tcPr>
          <w:p w14:paraId="129BC31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7" w:type="dxa"/>
          </w:tcPr>
          <w:p w14:paraId="7C9797E6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0A3C9F99" w14:textId="77777777">
        <w:tc>
          <w:tcPr>
            <w:tcW w:w="3848" w:type="dxa"/>
          </w:tcPr>
          <w:p w14:paraId="6E3F2676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Веб-сайт:</w:t>
            </w:r>
          </w:p>
        </w:tc>
        <w:tc>
          <w:tcPr>
            <w:tcW w:w="5687" w:type="dxa"/>
          </w:tcPr>
          <w:p w14:paraId="07B37282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5C71A9C5" w14:textId="77777777">
        <w:tc>
          <w:tcPr>
            <w:tcW w:w="3848" w:type="dxa"/>
          </w:tcPr>
          <w:p w14:paraId="52C3772A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2FBF6425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68C94008" w14:textId="77777777">
        <w:tc>
          <w:tcPr>
            <w:tcW w:w="3848" w:type="dxa"/>
          </w:tcPr>
          <w:p w14:paraId="0F8ACB9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з продажу (ПІБ)</w:t>
            </w:r>
          </w:p>
        </w:tc>
        <w:tc>
          <w:tcPr>
            <w:tcW w:w="5687" w:type="dxa"/>
          </w:tcPr>
          <w:p w14:paraId="5AB18F09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619404E" w14:textId="77777777">
        <w:tc>
          <w:tcPr>
            <w:tcW w:w="3848" w:type="dxa"/>
          </w:tcPr>
          <w:p w14:paraId="0BAA651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(ПІБ)</w:t>
            </w:r>
          </w:p>
        </w:tc>
        <w:tc>
          <w:tcPr>
            <w:tcW w:w="5687" w:type="dxa"/>
          </w:tcPr>
          <w:p w14:paraId="22F54308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4D06366D" w14:textId="77777777">
        <w:tc>
          <w:tcPr>
            <w:tcW w:w="3848" w:type="dxa"/>
          </w:tcPr>
          <w:p w14:paraId="01C4C53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 (посада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7" w:type="dxa"/>
          </w:tcPr>
          <w:p w14:paraId="74CF3A8D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62C01B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5683"/>
      </w:tblGrid>
      <w:tr w:rsidR="00615AA7" w14:paraId="70ADE946" w14:textId="77777777">
        <w:trPr>
          <w:cantSplit/>
        </w:trPr>
        <w:tc>
          <w:tcPr>
            <w:tcW w:w="9535" w:type="dxa"/>
            <w:gridSpan w:val="2"/>
            <w:shd w:val="clear" w:color="auto" w:fill="E6E6E6"/>
          </w:tcPr>
          <w:p w14:paraId="21706A62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тендеру</w:t>
            </w:r>
          </w:p>
        </w:tc>
      </w:tr>
      <w:tr w:rsidR="00615AA7" w14:paraId="1B2BBCA7" w14:textId="77777777">
        <w:tc>
          <w:tcPr>
            <w:tcW w:w="3852" w:type="dxa"/>
          </w:tcPr>
          <w:p w14:paraId="5ADB11B2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будь ласка, додайте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3" w:type="dxa"/>
          </w:tcPr>
          <w:p w14:paraId="2142CFD4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01FC3A5" w14:textId="77777777">
        <w:tc>
          <w:tcPr>
            <w:tcW w:w="3852" w:type="dxa"/>
          </w:tcPr>
          <w:p w14:paraId="77F114D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заснування</w:t>
            </w:r>
            <w:proofErr w:type="spellEnd"/>
          </w:p>
        </w:tc>
        <w:tc>
          <w:tcPr>
            <w:tcW w:w="5683" w:type="dxa"/>
          </w:tcPr>
          <w:p w14:paraId="76B8F1C3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5D521537" w14:textId="77777777">
        <w:tc>
          <w:tcPr>
            <w:tcW w:w="3852" w:type="dxa"/>
          </w:tcPr>
          <w:p w14:paraId="4DA169E1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5683" w:type="dxa"/>
          </w:tcPr>
          <w:p w14:paraId="4467CDE1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D5B8D49" w14:textId="77777777">
        <w:tc>
          <w:tcPr>
            <w:tcW w:w="3852" w:type="dxa"/>
          </w:tcPr>
          <w:p w14:paraId="3104CF1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ліцензування</w:t>
            </w:r>
            <w:proofErr w:type="spellEnd"/>
          </w:p>
        </w:tc>
        <w:tc>
          <w:tcPr>
            <w:tcW w:w="5683" w:type="dxa"/>
          </w:tcPr>
          <w:p w14:paraId="2088DB8E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25D4E6A2" w14:textId="77777777">
        <w:tc>
          <w:tcPr>
            <w:tcW w:w="3852" w:type="dxa"/>
          </w:tcPr>
          <w:p w14:paraId="7C47F3EC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 ПДВ/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номер)</w:t>
            </w:r>
          </w:p>
        </w:tc>
        <w:tc>
          <w:tcPr>
            <w:tcW w:w="5683" w:type="dxa"/>
          </w:tcPr>
          <w:p w14:paraId="6F658CBB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1F03347E" w14:textId="77777777">
        <w:tc>
          <w:tcPr>
            <w:tcW w:w="3852" w:type="dxa"/>
          </w:tcPr>
          <w:p w14:paraId="73A0A2B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83" w:type="dxa"/>
          </w:tcPr>
          <w:p w14:paraId="748EA2A9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4BAAE422" w14:textId="77777777">
        <w:tc>
          <w:tcPr>
            <w:tcW w:w="3852" w:type="dxa"/>
          </w:tcPr>
          <w:p w14:paraId="59018C6E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ласка,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вкажіть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2B753CD1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68871D60" w14:textId="77777777">
        <w:tc>
          <w:tcPr>
            <w:tcW w:w="3852" w:type="dxa"/>
          </w:tcPr>
          <w:p w14:paraId="75FECDC1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4B286A69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EE6E9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775"/>
      </w:tblGrid>
      <w:tr w:rsidR="00615AA7" w14:paraId="6DB8221E" w14:textId="77777777">
        <w:trPr>
          <w:cantSplit/>
        </w:trPr>
        <w:tc>
          <w:tcPr>
            <w:tcW w:w="9628" w:type="dxa"/>
            <w:gridSpan w:val="2"/>
            <w:shd w:val="clear" w:color="auto" w:fill="E6E6E6"/>
          </w:tcPr>
          <w:p w14:paraId="796D35DC" w14:textId="77777777" w:rsidR="00615AA7" w:rsidRDefault="007F50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Дочірні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асоційовані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особи та/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закордонні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тендеру</w:t>
            </w:r>
          </w:p>
        </w:tc>
      </w:tr>
      <w:tr w:rsidR="00615AA7" w14:paraId="08460ADA" w14:textId="77777777">
        <w:tc>
          <w:tcPr>
            <w:tcW w:w="3853" w:type="dxa"/>
          </w:tcPr>
          <w:p w14:paraId="4C01DA0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5" w:type="dxa"/>
          </w:tcPr>
          <w:p w14:paraId="7E150AA3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0825D81C" w14:textId="77777777">
        <w:tc>
          <w:tcPr>
            <w:tcW w:w="3853" w:type="dxa"/>
          </w:tcPr>
          <w:p w14:paraId="021AF596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представництвом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(агентом):</w:t>
            </w:r>
          </w:p>
        </w:tc>
        <w:tc>
          <w:tcPr>
            <w:tcW w:w="5775" w:type="dxa"/>
          </w:tcPr>
          <w:p w14:paraId="5F4C2B4B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29143285" w14:textId="77777777">
        <w:tc>
          <w:tcPr>
            <w:tcW w:w="3853" w:type="dxa"/>
          </w:tcPr>
          <w:p w14:paraId="2EE057F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5" w:type="dxa"/>
          </w:tcPr>
          <w:p w14:paraId="6F9B04CD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44971CAF" w14:textId="77777777">
        <w:tc>
          <w:tcPr>
            <w:tcW w:w="3853" w:type="dxa"/>
          </w:tcPr>
          <w:p w14:paraId="06E2F08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</w:p>
        </w:tc>
        <w:tc>
          <w:tcPr>
            <w:tcW w:w="5775" w:type="dxa"/>
          </w:tcPr>
          <w:p w14:paraId="4B317D0C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6DB1C42B" w14:textId="77777777">
        <w:tc>
          <w:tcPr>
            <w:tcW w:w="3853" w:type="dxa"/>
          </w:tcPr>
          <w:p w14:paraId="743451EB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ваша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5" w:type="dxa"/>
          </w:tcPr>
          <w:p w14:paraId="1637973D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A7" w14:paraId="324F603B" w14:textId="77777777">
        <w:tc>
          <w:tcPr>
            <w:tcW w:w="3853" w:type="dxa"/>
          </w:tcPr>
          <w:p w14:paraId="57BF8AA0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ваша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5" w:type="dxa"/>
          </w:tcPr>
          <w:p w14:paraId="6A35F044" w14:textId="77777777" w:rsidR="00615AA7" w:rsidRDefault="0061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2B971E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13203" w14:textId="77777777" w:rsidR="00615AA7" w:rsidRDefault="007F50B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Прочитавши ваш лист-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тендер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дата початку тендеру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76F88E4E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831C9" w14:textId="77777777" w:rsidR="00615AA7" w:rsidRDefault="007F5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поставку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необхідного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ІППО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</w:p>
    <w:p w14:paraId="761AB1C6" w14:textId="77777777" w:rsidR="00615AA7" w:rsidRDefault="007F50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вставте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дату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2FD40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A780F" w14:textId="77777777" w:rsidR="00615AA7" w:rsidRDefault="007F50B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Запрошення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CC25E" w14:textId="77777777" w:rsidR="00615AA7" w:rsidRDefault="00615AA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99812" w14:textId="77777777" w:rsidR="00615AA7" w:rsidRDefault="007F50B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>
        <w:rPr>
          <w:rFonts w:ascii="Times New Roman" w:eastAsia="Times New Roman" w:hAnsi="Times New Roman" w:cs="Times New Roman"/>
          <w:sz w:val="24"/>
          <w:szCs w:val="24"/>
        </w:rPr>
        <w:t>уючим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органом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зобов’язуємося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поставки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запропонованою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доставки,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BB132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9B004" w14:textId="77777777" w:rsidR="00615AA7" w:rsidRDefault="007F50B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засвідчуємо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прийня</w:t>
      </w:r>
      <w:r>
        <w:rPr>
          <w:rFonts w:ascii="Times New Roman" w:eastAsia="Times New Roman" w:hAnsi="Times New Roman" w:cs="Times New Roman"/>
          <w:sz w:val="24"/>
          <w:szCs w:val="24"/>
        </w:rPr>
        <w:t>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викладеним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Інструкціях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тендеру.</w:t>
      </w:r>
    </w:p>
    <w:p w14:paraId="56C27606" w14:textId="77777777" w:rsidR="00615AA7" w:rsidRDefault="00615A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36A595" w14:textId="77777777" w:rsidR="00615AA7" w:rsidRDefault="007F50B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засвідчуємо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жодна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7B4A6D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316D4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2008/8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41/JHA (1);</w:t>
      </w:r>
    </w:p>
    <w:p w14:paraId="3AEFBE0C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причетні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Співтовариств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держав-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Союзу (2)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2003/568/JHA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корупція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оператора;</w:t>
      </w:r>
    </w:p>
    <w:p w14:paraId="1A5AB617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шахрайство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Співтовариств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(4);</w:t>
      </w:r>
    </w:p>
    <w:p w14:paraId="25086121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пов'язані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терористичною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і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2002/475/JHA (5),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підбурювання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підбурювання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83017C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відмивання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тероризму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2005/60/ЄС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(6);</w:t>
      </w:r>
    </w:p>
    <w:p w14:paraId="35DCCB5D" w14:textId="77777777" w:rsidR="00615AA7" w:rsidRDefault="007F50BB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людьми,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2011/36/ЄС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</w:t>
      </w:r>
    </w:p>
    <w:p w14:paraId="7272760A" w14:textId="77777777" w:rsidR="00615AA7" w:rsidRDefault="007F50BB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тендеру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адміністративним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остаточну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обов’язкову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z w:val="24"/>
          <w:szCs w:val="24"/>
        </w:rPr>
        <w:t>нований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753DF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95DC3" w14:textId="77777777" w:rsidR="00615AA7" w:rsidRDefault="007F50B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того,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засвідчуємо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1EF42D" w14:textId="77777777" w:rsidR="00615AA7" w:rsidRDefault="0061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A69BD" w14:textId="77777777" w:rsidR="00615AA7" w:rsidRDefault="007F50BB">
      <w:pPr>
        <w:numPr>
          <w:ilvl w:val="0"/>
          <w:numId w:val="4"/>
        </w:numPr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ООН про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ГА ООН A/RES/44/25 (12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1989 р.)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додатком</w:t>
      </w:r>
      <w:proofErr w:type="spellEnd"/>
    </w:p>
    <w:p w14:paraId="4E07808E" w14:textId="77777777" w:rsidR="00615AA7" w:rsidRDefault="007F50BB">
      <w:pPr>
        <w:numPr>
          <w:ilvl w:val="0"/>
          <w:numId w:val="4"/>
        </w:numPr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використовували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використовуватимуть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приму</w:t>
      </w:r>
      <w:r>
        <w:rPr>
          <w:rFonts w:ascii="Times New Roman" w:eastAsia="Times New Roman" w:hAnsi="Times New Roman" w:cs="Times New Roman"/>
          <w:sz w:val="24"/>
          <w:szCs w:val="24"/>
        </w:rPr>
        <w:t>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обов’язкову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описано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примусову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примусової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B9C09" w14:textId="77777777" w:rsidR="00615AA7" w:rsidRDefault="007F50BB">
      <w:pPr>
        <w:numPr>
          <w:ilvl w:val="0"/>
          <w:numId w:val="4"/>
        </w:numPr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наших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DAD94" w14:textId="77777777" w:rsidR="00615AA7" w:rsidRDefault="007F50BB">
      <w:pPr>
        <w:numPr>
          <w:ilvl w:val="0"/>
          <w:numId w:val="4"/>
        </w:numPr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продажем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виробництвом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протипіхотних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бомб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компонентів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виробництві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протипіхотних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бомб.</w:t>
      </w:r>
    </w:p>
    <w:p w14:paraId="45F8FC54" w14:textId="77777777" w:rsidR="00615AA7" w:rsidRDefault="007F50BB">
      <w:pPr>
        <w:numPr>
          <w:ilvl w:val="0"/>
          <w:numId w:val="4"/>
        </w:numPr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15.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Боротьба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відмиванням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фінансуванням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тероризму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та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Корупційна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умов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контрактів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поставку.</w:t>
      </w:r>
    </w:p>
    <w:p w14:paraId="7BF4FC20" w14:textId="77777777" w:rsidR="00615AA7" w:rsidRDefault="00615AA7">
      <w:pPr>
        <w:ind w:left="1080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9611F" w14:textId="77777777" w:rsidR="00615AA7" w:rsidRDefault="007F50B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Вищезазначені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контракту,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розглядатися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FA1BA" w14:textId="77777777" w:rsidR="00615AA7" w:rsidRDefault="00615AA7">
      <w:pPr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3C30A4" w14:textId="77777777" w:rsidR="00615AA7" w:rsidRDefault="007F50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вставка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22E13E" w14:textId="77777777" w:rsidR="00615AA7" w:rsidRDefault="007F50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засвідчуємо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7BCF2" w14:textId="77777777" w:rsidR="00615AA7" w:rsidRDefault="007F50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нами, ми просимо,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контрактом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здійснювалися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70887D4F" w14:textId="77777777" w:rsidR="00615AA7" w:rsidRDefault="007F50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тендер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&lt;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вставте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номер&gt;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C2F6B" w14:textId="77777777" w:rsidR="00615AA7" w:rsidRDefault="00615AA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2F3EF1F" w14:textId="77777777" w:rsidR="00615AA7" w:rsidRDefault="00615AA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29242B" w14:textId="77777777" w:rsidR="00615AA7" w:rsidRDefault="007F50BB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печатка:</w:t>
      </w:r>
    </w:p>
    <w:p w14:paraId="3C5D7066" w14:textId="77777777" w:rsidR="00615AA7" w:rsidRDefault="007F50B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ADBD50" w14:textId="77777777" w:rsidR="00615AA7" w:rsidRDefault="00615AA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7848" w:type="dxa"/>
        <w:tblLayout w:type="fixed"/>
        <w:tblLook w:val="0000" w:firstRow="0" w:lastRow="0" w:firstColumn="0" w:lastColumn="0" w:noHBand="0" w:noVBand="0"/>
      </w:tblPr>
      <w:tblGrid>
        <w:gridCol w:w="2451"/>
        <w:gridCol w:w="5397"/>
      </w:tblGrid>
      <w:tr w:rsidR="00615AA7" w14:paraId="023A07AE" w14:textId="77777777">
        <w:tc>
          <w:tcPr>
            <w:tcW w:w="2451" w:type="dxa"/>
          </w:tcPr>
          <w:p w14:paraId="0F44921D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тендеру</w:t>
            </w:r>
          </w:p>
        </w:tc>
        <w:tc>
          <w:tcPr>
            <w:tcW w:w="5397" w:type="dxa"/>
          </w:tcPr>
          <w:p w14:paraId="54A6132A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1CC79B1F" w14:textId="77777777">
        <w:tc>
          <w:tcPr>
            <w:tcW w:w="2451" w:type="dxa"/>
          </w:tcPr>
          <w:p w14:paraId="07455463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5397" w:type="dxa"/>
          </w:tcPr>
          <w:p w14:paraId="09C319F6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08A23DC9" w14:textId="77777777">
        <w:tc>
          <w:tcPr>
            <w:tcW w:w="2451" w:type="dxa"/>
          </w:tcPr>
          <w:p w14:paraId="3096B7A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397" w:type="dxa"/>
          </w:tcPr>
          <w:p w14:paraId="211047E1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4C23E727" w14:textId="77777777">
        <w:tc>
          <w:tcPr>
            <w:tcW w:w="2451" w:type="dxa"/>
          </w:tcPr>
          <w:p w14:paraId="5329009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телефону</w:t>
            </w:r>
          </w:p>
        </w:tc>
        <w:tc>
          <w:tcPr>
            <w:tcW w:w="5397" w:type="dxa"/>
          </w:tcPr>
          <w:p w14:paraId="67088003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5D79D337" w14:textId="77777777">
        <w:tc>
          <w:tcPr>
            <w:tcW w:w="2451" w:type="dxa"/>
          </w:tcPr>
          <w:p w14:paraId="1867AADF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факсу</w:t>
            </w:r>
          </w:p>
        </w:tc>
        <w:tc>
          <w:tcPr>
            <w:tcW w:w="5397" w:type="dxa"/>
          </w:tcPr>
          <w:p w14:paraId="5C12EF79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17D8218D" w14:textId="77777777">
        <w:tc>
          <w:tcPr>
            <w:tcW w:w="2451" w:type="dxa"/>
          </w:tcPr>
          <w:p w14:paraId="25A8D227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7" w:type="dxa"/>
          </w:tcPr>
          <w:p w14:paraId="5892EE98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22824348" w14:textId="77777777">
        <w:tc>
          <w:tcPr>
            <w:tcW w:w="2451" w:type="dxa"/>
          </w:tcPr>
          <w:p w14:paraId="598BDA04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5397" w:type="dxa"/>
          </w:tcPr>
          <w:p w14:paraId="6537A358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5AA7" w14:paraId="50CD8E7C" w14:textId="77777777">
        <w:tc>
          <w:tcPr>
            <w:tcW w:w="2451" w:type="dxa"/>
          </w:tcPr>
          <w:p w14:paraId="7A5BF29A" w14:textId="77777777" w:rsidR="00615AA7" w:rsidRDefault="007F5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5397" w:type="dxa"/>
          </w:tcPr>
          <w:p w14:paraId="3476E8CB" w14:textId="77777777" w:rsidR="00615AA7" w:rsidRDefault="007F50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8E0039C" w14:textId="77777777" w:rsidR="00615AA7" w:rsidRDefault="00615AA7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4F76C56" w14:textId="77777777" w:rsidR="00615AA7" w:rsidRDefault="00615AA7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303F209" w14:textId="77777777" w:rsidR="00615AA7" w:rsidRDefault="007F50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уважно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перевірте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перш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подавати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тендерну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підготували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необхідні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інструкціях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входять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sectPr w:rsidR="00615AA7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9759" w14:textId="77777777" w:rsidR="007F50BB" w:rsidRDefault="007F50BB">
      <w:r>
        <w:separator/>
      </w:r>
    </w:p>
  </w:endnote>
  <w:endnote w:type="continuationSeparator" w:id="0">
    <w:p w14:paraId="1F1168A9" w14:textId="77777777" w:rsidR="007F50BB" w:rsidRDefault="007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5B40" w14:textId="77777777" w:rsidR="00615AA7" w:rsidRDefault="007F50B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Сторінка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21558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з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21558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E11" w14:textId="77777777" w:rsidR="007F50BB" w:rsidRDefault="007F50BB">
      <w:r>
        <w:separator/>
      </w:r>
    </w:p>
  </w:footnote>
  <w:footnote w:type="continuationSeparator" w:id="0">
    <w:p w14:paraId="7C94A761" w14:textId="77777777" w:rsidR="007F50BB" w:rsidRDefault="007F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2EC2" w14:textId="77777777" w:rsidR="00615AA7" w:rsidRDefault="00615A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ffd"/>
      <w:tblW w:w="962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14"/>
      <w:gridCol w:w="4814"/>
    </w:tblGrid>
    <w:tr w:rsidR="00615AA7" w14:paraId="56119A45" w14:textId="77777777">
      <w:tc>
        <w:tcPr>
          <w:tcW w:w="4814" w:type="dxa"/>
        </w:tcPr>
        <w:p w14:paraId="09BCB786" w14:textId="77777777" w:rsidR="00615AA7" w:rsidRDefault="007F50BB">
          <w:pPr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ГО «</w:t>
          </w:r>
          <w:proofErr w:type="spellStart"/>
          <w:r>
            <w:rPr>
              <w:rFonts w:ascii="Times New Roman" w:eastAsia="Times New Roman" w:hAnsi="Times New Roman" w:cs="Times New Roman"/>
            </w:rPr>
            <w:t>Розвиток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громадянських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компетенцій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в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Україні</w:t>
          </w:r>
          <w:proofErr w:type="spellEnd"/>
          <w:r>
            <w:rPr>
              <w:rFonts w:ascii="Times New Roman" w:eastAsia="Times New Roman" w:hAnsi="Times New Roman" w:cs="Times New Roman"/>
            </w:rPr>
            <w:t>»</w:t>
          </w:r>
        </w:p>
      </w:tc>
      <w:tc>
        <w:tcPr>
          <w:tcW w:w="4814" w:type="dxa"/>
        </w:tcPr>
        <w:p w14:paraId="27D94AA6" w14:textId="77777777" w:rsidR="00615AA7" w:rsidRDefault="007F5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Тендерна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документація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на ПОСТАЧАННЯ</w:t>
          </w:r>
        </w:p>
      </w:tc>
    </w:tr>
  </w:tbl>
  <w:p w14:paraId="7C582C58" w14:textId="77777777" w:rsidR="00615AA7" w:rsidRDefault="00615AA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E3E"/>
    <w:multiLevelType w:val="multilevel"/>
    <w:tmpl w:val="75D25A9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177618"/>
    <w:multiLevelType w:val="multilevel"/>
    <w:tmpl w:val="779CF7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C75"/>
    <w:multiLevelType w:val="multilevel"/>
    <w:tmpl w:val="701A0F0C"/>
    <w:lvl w:ilvl="0">
      <w:start w:val="1"/>
      <w:numFmt w:val="decimal"/>
      <w:lvlText w:val="B.%1."/>
      <w:lvlJc w:val="left"/>
      <w:pPr>
        <w:ind w:left="1260" w:hanging="360"/>
      </w:pPr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DD2BD5"/>
    <w:multiLevelType w:val="multilevel"/>
    <w:tmpl w:val="AE8A9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D1BBA"/>
    <w:multiLevelType w:val="multilevel"/>
    <w:tmpl w:val="DF149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382A3B"/>
    <w:multiLevelType w:val="multilevel"/>
    <w:tmpl w:val="B1604EF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3A6248"/>
    <w:multiLevelType w:val="multilevel"/>
    <w:tmpl w:val="4CCE010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105EA9"/>
    <w:multiLevelType w:val="multilevel"/>
    <w:tmpl w:val="AD38B9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559B4"/>
    <w:multiLevelType w:val="multilevel"/>
    <w:tmpl w:val="226E4C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364FF"/>
    <w:multiLevelType w:val="multilevel"/>
    <w:tmpl w:val="A94C3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223BFE"/>
    <w:multiLevelType w:val="multilevel"/>
    <w:tmpl w:val="66F6762E"/>
    <w:lvl w:ilvl="0">
      <w:start w:val="1"/>
      <w:numFmt w:val="bullet"/>
      <w:pStyle w:val="Sty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D4BE2"/>
    <w:multiLevelType w:val="multilevel"/>
    <w:tmpl w:val="B9E86A1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D06E30"/>
    <w:multiLevelType w:val="multilevel"/>
    <w:tmpl w:val="F1BAF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8102B5"/>
    <w:multiLevelType w:val="multilevel"/>
    <w:tmpl w:val="032C1DD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A7"/>
    <w:rsid w:val="00615AA7"/>
    <w:rsid w:val="007F50BB"/>
    <w:rsid w:val="009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45E"/>
  <w15:docId w15:val="{BB427042-E3C1-42ED-B4B6-FC24025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Pr>
      <w:sz w:val="56"/>
      <w:szCs w:val="56"/>
    </w:rPr>
  </w:style>
  <w:style w:type="table" w:styleId="a5">
    <w:name w:val="Table Grid"/>
    <w:basedOn w:val="a1"/>
    <w:uiPriority w:val="39"/>
    <w:rsid w:val="00A6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B3A"/>
    <w:pPr>
      <w:tabs>
        <w:tab w:val="center" w:pos="4986"/>
        <w:tab w:val="right" w:pos="99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43B3A"/>
    <w:rPr>
      <w:lang w:val="tr-TR"/>
    </w:rPr>
  </w:style>
  <w:style w:type="paragraph" w:styleId="a8">
    <w:name w:val="footer"/>
    <w:basedOn w:val="a"/>
    <w:link w:val="a9"/>
    <w:unhideWhenUsed/>
    <w:rsid w:val="00A43B3A"/>
    <w:pPr>
      <w:tabs>
        <w:tab w:val="center" w:pos="4986"/>
        <w:tab w:val="right" w:pos="9972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43B3A"/>
    <w:rPr>
      <w:lang w:val="tr-TR"/>
    </w:rPr>
  </w:style>
  <w:style w:type="paragraph" w:styleId="aa">
    <w:name w:val="Balloon Text"/>
    <w:basedOn w:val="a"/>
    <w:link w:val="ab"/>
    <w:uiPriority w:val="99"/>
    <w:semiHidden/>
    <w:unhideWhenUsed/>
    <w:rsid w:val="00A62BA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62BA8"/>
    <w:rPr>
      <w:rFonts w:ascii="Segoe UI" w:hAnsi="Segoe UI" w:cs="Segoe UI"/>
      <w:sz w:val="18"/>
      <w:szCs w:val="18"/>
      <w:lang w:val="tr-TR"/>
    </w:rPr>
  </w:style>
  <w:style w:type="character" w:styleId="ac">
    <w:name w:val="annotation reference"/>
    <w:basedOn w:val="a0"/>
    <w:semiHidden/>
    <w:unhideWhenUsed/>
    <w:rsid w:val="008F41D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F41DD"/>
  </w:style>
  <w:style w:type="character" w:customStyle="1" w:styleId="ae">
    <w:name w:val="Текст примітки Знак"/>
    <w:basedOn w:val="a0"/>
    <w:link w:val="ad"/>
    <w:uiPriority w:val="99"/>
    <w:semiHidden/>
    <w:rsid w:val="008F41DD"/>
    <w:rPr>
      <w:szCs w:val="20"/>
      <w:lang w:val="tr-T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41DD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8F41DD"/>
    <w:rPr>
      <w:b/>
      <w:bCs/>
      <w:szCs w:val="20"/>
      <w:lang w:val="tr-TR"/>
    </w:rPr>
  </w:style>
  <w:style w:type="character" w:styleId="af1">
    <w:name w:val="Placeholder Text"/>
    <w:basedOn w:val="a0"/>
    <w:uiPriority w:val="99"/>
    <w:semiHidden/>
    <w:rsid w:val="006E3BF1"/>
    <w:rPr>
      <w:color w:val="808080"/>
    </w:rPr>
  </w:style>
  <w:style w:type="paragraph" w:styleId="af2">
    <w:name w:val="List Paragraph"/>
    <w:basedOn w:val="a"/>
    <w:uiPriority w:val="1"/>
    <w:qFormat/>
    <w:rsid w:val="006E3BF1"/>
    <w:pPr>
      <w:ind w:left="720"/>
      <w:contextualSpacing/>
    </w:pPr>
  </w:style>
  <w:style w:type="character" w:styleId="af3">
    <w:name w:val="page number"/>
    <w:basedOn w:val="a0"/>
    <w:rsid w:val="00741AA9"/>
  </w:style>
  <w:style w:type="character" w:customStyle="1" w:styleId="10">
    <w:name w:val="Заголовок 1 Знак"/>
    <w:basedOn w:val="a0"/>
    <w:link w:val="1"/>
    <w:uiPriority w:val="9"/>
    <w:rsid w:val="00741A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character" w:customStyle="1" w:styleId="af4">
    <w:name w:val="Підзаголовок Знак"/>
    <w:basedOn w:val="a0"/>
    <w:link w:val="af5"/>
    <w:rsid w:val="00607AF2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af6">
    <w:name w:val="Plain Text"/>
    <w:basedOn w:val="a"/>
    <w:link w:val="af7"/>
    <w:rsid w:val="0005020B"/>
    <w:rPr>
      <w:rFonts w:ascii="Courier New" w:eastAsia="Times New Roman" w:hAnsi="Courier New" w:cs="Courier New"/>
      <w:lang w:val="da-DK" w:eastAsia="da-DK"/>
    </w:rPr>
  </w:style>
  <w:style w:type="character" w:customStyle="1" w:styleId="af7">
    <w:name w:val="Текст Знак"/>
    <w:basedOn w:val="a0"/>
    <w:link w:val="af6"/>
    <w:rsid w:val="0005020B"/>
    <w:rPr>
      <w:rFonts w:ascii="Courier New" w:eastAsia="Times New Roman" w:hAnsi="Courier New" w:cs="Courier New"/>
      <w:szCs w:val="20"/>
      <w:lang w:val="da-DK" w:eastAsia="da-DK"/>
    </w:rPr>
  </w:style>
  <w:style w:type="paragraph" w:customStyle="1" w:styleId="Style2">
    <w:name w:val="Style2"/>
    <w:basedOn w:val="a"/>
    <w:next w:val="20"/>
    <w:qFormat/>
    <w:rsid w:val="0005020B"/>
    <w:pPr>
      <w:numPr>
        <w:numId w:val="2"/>
      </w:numPr>
      <w:contextualSpacing/>
    </w:pPr>
    <w:rPr>
      <w:rFonts w:ascii="Arial" w:eastAsia="Times New Roman" w:hAnsi="Arial" w:cs="Arial"/>
      <w:b/>
      <w:lang w:val="en-GB" w:eastAsia="da-DK"/>
    </w:rPr>
  </w:style>
  <w:style w:type="paragraph" w:styleId="20">
    <w:name w:val="toc 2"/>
    <w:basedOn w:val="a"/>
    <w:next w:val="a"/>
    <w:autoRedefine/>
    <w:uiPriority w:val="39"/>
    <w:semiHidden/>
    <w:unhideWhenUsed/>
    <w:rsid w:val="0005020B"/>
    <w:pPr>
      <w:spacing w:after="100"/>
      <w:ind w:left="200"/>
    </w:pPr>
  </w:style>
  <w:style w:type="character" w:styleId="af8">
    <w:name w:val="Hyperlink"/>
    <w:basedOn w:val="a0"/>
    <w:rsid w:val="00475527"/>
    <w:rPr>
      <w:color w:val="0563C1" w:themeColor="hyperlink"/>
      <w:u w:val="single"/>
    </w:rPr>
  </w:style>
  <w:style w:type="paragraph" w:customStyle="1" w:styleId="Sub-ClauseText">
    <w:name w:val="Sub-Clause Text"/>
    <w:basedOn w:val="a"/>
    <w:rsid w:val="00475527"/>
    <w:pPr>
      <w:spacing w:before="120" w:after="120"/>
      <w:jc w:val="both"/>
    </w:pPr>
    <w:rPr>
      <w:rFonts w:ascii="Times New Roman" w:eastAsia="Times New Roman" w:hAnsi="Times New Roman" w:cs="Times New Roman"/>
      <w:spacing w:val="-4"/>
      <w:sz w:val="24"/>
      <w:lang w:val="en-US"/>
    </w:rPr>
  </w:style>
  <w:style w:type="paragraph" w:styleId="af9">
    <w:name w:val="Body Text"/>
    <w:basedOn w:val="a"/>
    <w:link w:val="afa"/>
    <w:rsid w:val="00DE05EE"/>
    <w:pPr>
      <w:autoSpaceDE w:val="0"/>
      <w:autoSpaceDN w:val="0"/>
      <w:adjustRightInd w:val="0"/>
    </w:pPr>
    <w:rPr>
      <w:rFonts w:ascii="Arial" w:eastAsia="Times New Roman" w:hAnsi="Arial" w:cs="Arial"/>
      <w:lang w:val="en-GB" w:eastAsia="da-DK"/>
    </w:rPr>
  </w:style>
  <w:style w:type="character" w:customStyle="1" w:styleId="afa">
    <w:name w:val="Основний текст Знак"/>
    <w:basedOn w:val="a0"/>
    <w:link w:val="af9"/>
    <w:rsid w:val="00DE05EE"/>
    <w:rPr>
      <w:rFonts w:ascii="Arial" w:eastAsia="Times New Roman" w:hAnsi="Arial" w:cs="Arial"/>
      <w:szCs w:val="20"/>
      <w:lang w:val="en-GB" w:eastAsia="da-DK"/>
    </w:rPr>
  </w:style>
  <w:style w:type="paragraph" w:styleId="afb">
    <w:name w:val="footnote text"/>
    <w:basedOn w:val="a"/>
    <w:link w:val="afc"/>
    <w:semiHidden/>
    <w:rsid w:val="00DE05EE"/>
    <w:pPr>
      <w:spacing w:before="120" w:after="120"/>
    </w:pPr>
    <w:rPr>
      <w:rFonts w:ascii="Arial" w:eastAsia="Times New Roman" w:hAnsi="Arial" w:cs="Times New Roman"/>
      <w:snapToGrid w:val="0"/>
      <w:lang w:val="fr-FR"/>
    </w:rPr>
  </w:style>
  <w:style w:type="character" w:customStyle="1" w:styleId="afc">
    <w:name w:val="Текст виноски Знак"/>
    <w:basedOn w:val="a0"/>
    <w:link w:val="afb"/>
    <w:semiHidden/>
    <w:rsid w:val="00DE05EE"/>
    <w:rPr>
      <w:rFonts w:ascii="Arial" w:eastAsia="Times New Roman" w:hAnsi="Arial" w:cs="Times New Roman"/>
      <w:snapToGrid w:val="0"/>
      <w:szCs w:val="20"/>
      <w:lang w:val="fr-FR"/>
    </w:rPr>
  </w:style>
  <w:style w:type="character" w:styleId="afd">
    <w:name w:val="footnote reference"/>
    <w:semiHidden/>
    <w:rsid w:val="00DE05EE"/>
    <w:rPr>
      <w:vertAlign w:val="superscript"/>
    </w:rPr>
  </w:style>
  <w:style w:type="numbering" w:customStyle="1" w:styleId="Style3">
    <w:name w:val="Style3"/>
    <w:uiPriority w:val="99"/>
    <w:rsid w:val="00FF65CD"/>
  </w:style>
  <w:style w:type="paragraph" w:styleId="afe">
    <w:name w:val="Normal (Web)"/>
    <w:basedOn w:val="a"/>
    <w:rsid w:val="007805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Style1">
    <w:name w:val="Style1"/>
    <w:basedOn w:val="a"/>
    <w:next w:val="a3"/>
    <w:rsid w:val="0078052B"/>
    <w:pPr>
      <w:keepNext/>
      <w:spacing w:before="240" w:after="240"/>
    </w:pPr>
    <w:rPr>
      <w:rFonts w:ascii="Arial" w:eastAsia="Times New Roman" w:hAnsi="Arial" w:cs="Times New Roman"/>
      <w:b/>
      <w:bCs/>
      <w:sz w:val="18"/>
      <w:lang w:val="en-GB" w:eastAsia="en-GB"/>
    </w:rPr>
  </w:style>
  <w:style w:type="character" w:customStyle="1" w:styleId="a4">
    <w:name w:val="Назва Знак"/>
    <w:basedOn w:val="a0"/>
    <w:link w:val="a3"/>
    <w:uiPriority w:val="10"/>
    <w:rsid w:val="0078052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HTML">
    <w:name w:val="HTML Preformatted"/>
    <w:basedOn w:val="a"/>
    <w:link w:val="HTML0"/>
    <w:uiPriority w:val="99"/>
    <w:unhideWhenUsed/>
    <w:rsid w:val="00F8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US"/>
    </w:rPr>
  </w:style>
  <w:style w:type="character" w:customStyle="1" w:styleId="HTML0">
    <w:name w:val="Стандартний HTML Знак"/>
    <w:basedOn w:val="a0"/>
    <w:link w:val="HTML"/>
    <w:uiPriority w:val="99"/>
    <w:rsid w:val="00F8044C"/>
    <w:rPr>
      <w:rFonts w:ascii="Courier New" w:eastAsia="Times New Roman" w:hAnsi="Courier New" w:cs="Courier New"/>
      <w:szCs w:val="20"/>
      <w:lang w:val="en-US"/>
    </w:rPr>
  </w:style>
  <w:style w:type="paragraph" w:styleId="aff">
    <w:name w:val="No Spacing"/>
    <w:uiPriority w:val="1"/>
    <w:qFormat/>
    <w:rsid w:val="00305E10"/>
    <w:rPr>
      <w:rFonts w:asciiTheme="minorHAnsi" w:hAnsiTheme="minorHAnsi" w:cstheme="minorBidi"/>
      <w:sz w:val="22"/>
    </w:rPr>
  </w:style>
  <w:style w:type="character" w:customStyle="1" w:styleId="y2iqfc">
    <w:name w:val="y2iqfc"/>
    <w:basedOn w:val="a0"/>
    <w:rsid w:val="00415A61"/>
  </w:style>
  <w:style w:type="paragraph" w:customStyle="1" w:styleId="Default">
    <w:name w:val="Default"/>
    <w:rsid w:val="00DA3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q4iawc">
    <w:name w:val="q4iawc"/>
    <w:basedOn w:val="a0"/>
    <w:rsid w:val="00DA3B01"/>
  </w:style>
  <w:style w:type="character" w:customStyle="1" w:styleId="eop">
    <w:name w:val="eop"/>
    <w:basedOn w:val="a0"/>
    <w:rsid w:val="00E20DB0"/>
  </w:style>
  <w:style w:type="character" w:customStyle="1" w:styleId="normaltextrun">
    <w:name w:val="normaltextrun"/>
    <w:basedOn w:val="a0"/>
    <w:rsid w:val="00E20DB0"/>
  </w:style>
  <w:style w:type="paragraph" w:customStyle="1" w:styleId="paragraph">
    <w:name w:val="paragraph"/>
    <w:basedOn w:val="a"/>
    <w:rsid w:val="00E20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f5">
    <w:name w:val="Subtitle"/>
    <w:basedOn w:val="a"/>
    <w:next w:val="a"/>
    <w:link w:val="af4"/>
    <w:uiPriority w:val="11"/>
    <w:qFormat/>
    <w:pPr>
      <w:spacing w:before="120" w:after="120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ff0">
    <w:basedOn w:val="a1"/>
    <w:tblPr>
      <w:tblStyleRowBandSize w:val="1"/>
      <w:tblStyleColBandSize w:val="1"/>
    </w:tblPr>
  </w:style>
  <w:style w:type="table" w:customStyle="1" w:styleId="aff1">
    <w:basedOn w:val="a1"/>
    <w:tblPr>
      <w:tblStyleRowBandSize w:val="1"/>
      <w:tblStyleColBandSize w:val="1"/>
    </w:tblPr>
  </w:style>
  <w:style w:type="table" w:customStyle="1" w:styleId="a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za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UqxeqQLgRxFE50PPp64Yqo7ZQ==">CgMxLjAaHwoBMBIaChgICVIUChJ0YWJsZS5hZHJhMzBieG1zaDAyCGgudHlqY3d0MghoLnR5amN3dDIOaC5uaHI5OTluNWdxMzYyDmgucm96ZmM4ejNtcmhyMg5oLngxbnZ3OTE1M29mdzIOaC54ZmwxbGJ0cWQ5dXQyDmguYzZxeng0aW05YWxyOAByITFUTmlJZFFEem9JV3VrZE43WmZBM0dKakFVSXhBYmZocQ==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16310</Words>
  <Characters>9297</Characters>
  <Application>Microsoft Office Word</Application>
  <DocSecurity>0</DocSecurity>
  <Lines>77</Lines>
  <Paragraphs>51</Paragraphs>
  <ScaleCrop>false</ScaleCrop>
  <Company/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Uluc Baslanti</dc:creator>
  <cp:lastModifiedBy>Віта</cp:lastModifiedBy>
  <cp:revision>2</cp:revision>
  <dcterms:created xsi:type="dcterms:W3CDTF">2022-11-17T13:16:00Z</dcterms:created>
  <dcterms:modified xsi:type="dcterms:W3CDTF">2025-08-26T13:05:00Z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0x0101009E3800AB8C04E7488D8F72DB0388577E</vt:lpwstr>
  </property>
</Properties>
</file>